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3E59E" w14:textId="77777777" w:rsidR="00965CEB" w:rsidRPr="007F4CC8" w:rsidRDefault="00965CEB" w:rsidP="00965CEB">
      <w:pPr>
        <w:pStyle w:val="Annexetitre"/>
        <w:spacing w:after="240"/>
        <w:rPr>
          <w:u w:val="none"/>
        </w:rPr>
      </w:pPr>
      <w:r>
        <w:rPr>
          <w:u w:val="none"/>
        </w:rPr>
        <w:t>XXXIV LISA. Juhised tasustamispõhimõtete avalikustamise vormide kohta</w:t>
      </w:r>
    </w:p>
    <w:p w14:paraId="27BC952C" w14:textId="77777777" w:rsidR="00965CEB" w:rsidRPr="007F4CC8" w:rsidRDefault="00965CEB" w:rsidP="00965CEB">
      <w:pPr>
        <w:pStyle w:val="Titlelevel2"/>
        <w:spacing w:before="120" w:after="120"/>
        <w:rPr>
          <w:rFonts w:ascii="Times New Roman" w:hAnsi="Times New Roman"/>
          <w:b/>
          <w:color w:val="auto"/>
          <w:sz w:val="22"/>
          <w:lang w:val="en-GB"/>
        </w:rPr>
      </w:pPr>
    </w:p>
    <w:p w14:paraId="08B38A5D" w14:textId="77777777" w:rsidR="00965CEB" w:rsidRPr="00DD0C4D" w:rsidRDefault="00965CEB" w:rsidP="00965CEB">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Tabel EU REMA. Töötasupoliitika. </w:t>
      </w:r>
      <w:r>
        <w:rPr>
          <w:rFonts w:ascii="Times New Roman" w:hAnsi="Times New Roman"/>
          <w:color w:val="auto"/>
          <w:sz w:val="24"/>
        </w:rPr>
        <w:t>Paindlik vorming</w:t>
      </w:r>
    </w:p>
    <w:p w14:paraId="6ACFB470" w14:textId="1A85C375"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Finantsinstitutsioonid avalikustavad kapitalinõuete määruse</w:t>
      </w:r>
      <w:r w:rsidRPr="007F4CC8">
        <w:rPr>
          <w:rStyle w:val="FootnoteReference"/>
          <w:rFonts w:ascii="Times New Roman" w:eastAsiaTheme="minorEastAsia" w:hAnsi="Times New Roman" w:cs="Times New Roman"/>
          <w:bCs w:val="0"/>
          <w:color w:val="auto"/>
          <w:sz w:val="24"/>
          <w:lang w:val="en-GB"/>
        </w:rPr>
        <w:footnoteReference w:id="1"/>
      </w:r>
      <w:r>
        <w:rPr>
          <w:rFonts w:ascii="Times New Roman" w:hAnsi="Times New Roman"/>
          <w:color w:val="auto"/>
          <w:sz w:val="24"/>
        </w:rPr>
        <w:t xml:space="preserve"> artikli 450 lõike 1 punktides a, b, c, d, e, f, j ja k ning artikli 450 lõikes 2 osutatud teabe, järgides käesolevas lisas allpool esitatud juhiseid, et täita EBA IT-lahenduste XXXIII lisas esitatud tabel XXXIII.</w:t>
      </w:r>
    </w:p>
    <w:p w14:paraId="3D4A1A0C"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Tabel on paindlikus vormingus. Kui finantsinstitutsioonid kasutavad teistsugust vormingut, esitavad nad teabe, mis on võrreldav selles tabelis nõutava teabega, sarnase üksikasjalikkusega ja sisaldab kogu nõutavat sisu.</w:t>
      </w:r>
    </w:p>
    <w:p w14:paraId="5ED60910"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Selles tabelis ja käesolevas lisas selgitatud vormides tähendab tasu määramine muutuvtasu määramist konkreetse arvestusperioodi eest, sõltumata määratud summa maksmise tegelikust ajahetkest.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6548A600"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68852" w14:textId="77777777" w:rsidR="00965CEB" w:rsidRPr="007F4CC8" w:rsidRDefault="00965CEB" w:rsidP="004F3087">
            <w:pPr>
              <w:rPr>
                <w:rFonts w:ascii="Times New Roman" w:hAnsi="Times New Roman" w:cs="Times New Roman"/>
                <w:b/>
                <w:sz w:val="24"/>
              </w:rPr>
            </w:pPr>
            <w:r>
              <w:rPr>
                <w:rFonts w:ascii="Times New Roman" w:hAnsi="Times New Roman"/>
                <w:b/>
                <w:sz w:val="24"/>
              </w:rPr>
              <w:t>Viited õigussätetele ja juhised</w:t>
            </w:r>
          </w:p>
        </w:tc>
      </w:tr>
      <w:tr w:rsidR="00965CEB" w:rsidRPr="007F4CC8" w14:paraId="284F051F" w14:textId="77777777" w:rsidTr="004F3087">
        <w:trPr>
          <w:trHeight w:val="238"/>
        </w:trPr>
        <w:tc>
          <w:tcPr>
            <w:tcW w:w="1384" w:type="dxa"/>
            <w:shd w:val="clear" w:color="auto" w:fill="D9D9D9" w:themeFill="background1" w:themeFillShade="D9"/>
          </w:tcPr>
          <w:p w14:paraId="2F1543A4"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5DD0A4CC"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965CEB" w:rsidRPr="007F4CC8" w14:paraId="366273C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A843606" w14:textId="77777777" w:rsidR="00965CEB" w:rsidRPr="007F4CC8" w:rsidRDefault="00965CEB" w:rsidP="004F3087">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vAlign w:val="center"/>
          </w:tcPr>
          <w:p w14:paraId="3D197420"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Teave töötasu üle järelevalvet tegevate organite kohta. Avalikustatakse järgmine teave:</w:t>
            </w:r>
          </w:p>
          <w:p w14:paraId="1488B17D" w14:textId="77777777" w:rsidR="00965CEB" w:rsidRPr="007F4CC8" w:rsidRDefault="00965CEB" w:rsidP="00965CEB">
            <w:pPr>
              <w:pStyle w:val="ListParagraph"/>
              <w:numPr>
                <w:ilvl w:val="0"/>
                <w:numId w:val="2"/>
              </w:numPr>
              <w:spacing w:before="60" w:after="120"/>
              <w:jc w:val="both"/>
              <w:rPr>
                <w:rFonts w:ascii="Times New Roman" w:hAnsi="Times New Roman"/>
                <w:sz w:val="24"/>
                <w:szCs w:val="24"/>
              </w:rPr>
            </w:pPr>
            <w:r>
              <w:rPr>
                <w:rFonts w:ascii="Times New Roman" w:hAnsi="Times New Roman"/>
                <w:sz w:val="24"/>
              </w:rPr>
              <w:t>tasustamispõhimõtete üle järelevalvet tegeva peamise organi (juhtorgan ja töötasukomisjon, kui see on loodud) nimi, koosseis ja volitused ning kõnealuse peamise organi koosolekute arv majandusaasta jooksul;</w:t>
            </w:r>
          </w:p>
          <w:p w14:paraId="5B0DD549" w14:textId="77777777" w:rsidR="00965CEB" w:rsidRPr="007F4CC8" w:rsidRDefault="00965CEB" w:rsidP="00965CEB">
            <w:pPr>
              <w:pStyle w:val="ListParagraph"/>
              <w:numPr>
                <w:ilvl w:val="0"/>
                <w:numId w:val="2"/>
              </w:numPr>
              <w:spacing w:before="60" w:after="120"/>
              <w:jc w:val="both"/>
              <w:rPr>
                <w:rFonts w:ascii="Times New Roman" w:hAnsi="Times New Roman"/>
                <w:sz w:val="24"/>
                <w:szCs w:val="24"/>
              </w:rPr>
            </w:pPr>
            <w:r>
              <w:rPr>
                <w:rFonts w:ascii="Times New Roman" w:hAnsi="Times New Roman"/>
                <w:sz w:val="24"/>
              </w:rPr>
              <w:t>väliskonsultandid, kellelt on nõu küsitud, milline organ neilt teenuseid tellis ja millistes tasustamisraamistiku valdkondades;</w:t>
            </w:r>
          </w:p>
          <w:p w14:paraId="3CBC394C" w14:textId="77777777" w:rsidR="00965CEB" w:rsidRPr="007F4CC8" w:rsidRDefault="00965CEB" w:rsidP="00965CEB">
            <w:pPr>
              <w:pStyle w:val="ListParagraph"/>
              <w:numPr>
                <w:ilvl w:val="0"/>
                <w:numId w:val="2"/>
              </w:numPr>
              <w:spacing w:before="60" w:after="120"/>
              <w:jc w:val="both"/>
              <w:rPr>
                <w:rFonts w:ascii="Times New Roman" w:hAnsi="Times New Roman"/>
                <w:sz w:val="24"/>
                <w:szCs w:val="24"/>
              </w:rPr>
            </w:pPr>
            <w:r>
              <w:rPr>
                <w:rFonts w:ascii="Times New Roman" w:hAnsi="Times New Roman"/>
                <w:sz w:val="24"/>
              </w:rPr>
              <w:t>finantsinstitutsiooni tasustamispõhimõtete ulatuse kirjeldus (nt piirkondade, äriliinide kaupa), sealhulgas mil määral seda kohaldatakse kolmandates riikides asuvate tütarettevõtjate ja filiaalide suhtes;</w:t>
            </w:r>
          </w:p>
          <w:p w14:paraId="1BEEE20B" w14:textId="77777777" w:rsidR="00965CEB" w:rsidRPr="007F4CC8" w:rsidRDefault="00965CEB" w:rsidP="00965CEB">
            <w:pPr>
              <w:pStyle w:val="ListParagraph"/>
              <w:numPr>
                <w:ilvl w:val="0"/>
                <w:numId w:val="2"/>
              </w:numPr>
              <w:spacing w:before="60" w:after="120"/>
              <w:jc w:val="both"/>
              <w:rPr>
                <w:rFonts w:ascii="Times New Roman" w:hAnsi="Times New Roman"/>
                <w:sz w:val="24"/>
              </w:rPr>
            </w:pPr>
            <w:r>
              <w:rPr>
                <w:rFonts w:ascii="Times New Roman" w:hAnsi="Times New Roman"/>
                <w:sz w:val="24"/>
              </w:rPr>
              <w:t>nende töötajate või töötajate kategooriate kirjeldus, kelle ametialane tegevus mõjutab oluliselt finantsinstitutsiooni riskiprofiili (kindlaksmääratud töötajad).</w:t>
            </w:r>
          </w:p>
        </w:tc>
      </w:tr>
      <w:tr w:rsidR="00965CEB" w:rsidRPr="007F4CC8" w14:paraId="2FEF2CF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A003A1C" w14:textId="77777777" w:rsidR="00965CEB" w:rsidRPr="007F4CC8" w:rsidRDefault="00965CEB" w:rsidP="004F3087">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vAlign w:val="center"/>
          </w:tcPr>
          <w:p w14:paraId="75C23370"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Teave kindlaksmääratud töötajate tasustamissüsteemi ülesehituse ja struktuuri kohta. Avalikustatakse järgmine teave:</w:t>
            </w:r>
          </w:p>
          <w:p w14:paraId="363C45DA"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ülevaade tasustamispoliitika põhitunnustest ja eesmärkidest ning teave tasustamispoliitika kindlaksmääramiseks kasutatava otsustusprotsessi ja asjaomaste sidusrühmade rolli kohta (nt aktsionäride koosolek);</w:t>
            </w:r>
          </w:p>
          <w:p w14:paraId="415080E8"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teave töötulemuste mõõtmiseks kasutatavate kriteeriumide ning riske arvestava eel- ja järelkorrigeerimise kriteeriumide kohta;</w:t>
            </w:r>
          </w:p>
          <w:p w14:paraId="486E0D69"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lastRenderedPageBreak/>
              <w:t>kas juhtorgan ja töötasukomisjon (kui see on loodud) vaatasid läbi finantsinstitutsiooni tasustamispõhimõtted viimase aasta jooksul, ning kui nad seda tegid, siis ülevaade tehtud muudatustest, nende muudatuste põhjustest ja nende mõjust tasustamisele;</w:t>
            </w:r>
          </w:p>
          <w:p w14:paraId="410559C6"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teave selle kohta, kuidas finantsinstitutsioon tagab, et sisekontrolli funktsiooni täitvaid töötajaid tasustatakse sõltumatult tegevusvaldkondadest, mida nad kontrollivad;</w:t>
            </w:r>
          </w:p>
          <w:p w14:paraId="0551D89A"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põhimõtted ja kriteeriumid, mida rakendatakse tagatud muutuvtasu ja ülesütlemishüvitiste määramisel.</w:t>
            </w:r>
          </w:p>
        </w:tc>
      </w:tr>
      <w:tr w:rsidR="00965CEB" w:rsidRPr="007F4CC8" w14:paraId="6A1C951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59DC3B9" w14:textId="77777777" w:rsidR="00965CEB" w:rsidRPr="007F4CC8" w:rsidRDefault="00965CEB" w:rsidP="004F3087">
            <w:pPr>
              <w:pStyle w:val="Applicationdirecte"/>
              <w:spacing w:before="0" w:after="0"/>
              <w:jc w:val="center"/>
            </w:pPr>
            <w:r>
              <w:lastRenderedPageBreak/>
              <w:t>c</w:t>
            </w:r>
          </w:p>
        </w:tc>
        <w:tc>
          <w:tcPr>
            <w:tcW w:w="7655" w:type="dxa"/>
            <w:tcBorders>
              <w:top w:val="single" w:sz="4" w:space="0" w:color="auto"/>
              <w:left w:val="single" w:sz="4" w:space="0" w:color="auto"/>
              <w:bottom w:val="single" w:sz="4" w:space="0" w:color="auto"/>
              <w:right w:val="single" w:sz="4" w:space="0" w:color="auto"/>
            </w:tcBorders>
            <w:vAlign w:val="center"/>
          </w:tcPr>
          <w:p w14:paraId="106A5392" w14:textId="31F181AB"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Kirjeldus selle kohta, kuidas tasustamisprotsessides võetakse arvesse praeguseid ja tulevasi riske.</w:t>
            </w:r>
          </w:p>
          <w:p w14:paraId="5A14C6D4"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Avalikustatav teave sisaldab ülevaadet peamistest riskidest, nende mõõtmisest ja sellest, kuidas need meetmed mõjutavad tasustamist.</w:t>
            </w:r>
          </w:p>
        </w:tc>
      </w:tr>
      <w:tr w:rsidR="00965CEB" w:rsidRPr="007F4CC8" w14:paraId="7E128A2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590B101" w14:textId="77777777" w:rsidR="00965CEB" w:rsidRPr="007F4CC8" w:rsidRDefault="00965CEB" w:rsidP="004F3087">
            <w:pPr>
              <w:pStyle w:val="Applicationdirecte"/>
              <w:spacing w:before="0" w:after="0"/>
              <w:jc w:val="center"/>
            </w:pPr>
            <w:r>
              <w:t>d</w:t>
            </w:r>
          </w:p>
        </w:tc>
        <w:tc>
          <w:tcPr>
            <w:tcW w:w="7655" w:type="dxa"/>
            <w:tcBorders>
              <w:top w:val="single" w:sz="4" w:space="0" w:color="auto"/>
              <w:left w:val="single" w:sz="4" w:space="0" w:color="auto"/>
              <w:bottom w:val="single" w:sz="4" w:space="0" w:color="auto"/>
              <w:right w:val="single" w:sz="4" w:space="0" w:color="auto"/>
            </w:tcBorders>
            <w:vAlign w:val="center"/>
          </w:tcPr>
          <w:p w14:paraId="7AE353CB"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Põhi- ja muutuvtasu vaheline suhe, mis on määratud kooskõlas direktiivi 2013/36/EL</w:t>
            </w:r>
            <w:r w:rsidRPr="007F4CC8">
              <w:rPr>
                <w:rStyle w:val="FootnoteReference"/>
                <w:rFonts w:ascii="Times New Roman" w:hAnsi="Times New Roman"/>
                <w:sz w:val="24"/>
              </w:rPr>
              <w:footnoteReference w:id="2"/>
            </w:r>
            <w:r>
              <w:rPr>
                <w:rFonts w:ascii="Times New Roman" w:hAnsi="Times New Roman"/>
                <w:sz w:val="24"/>
              </w:rPr>
              <w:t xml:space="preserve"> (edaspidi „kapitalinõuete direktiiv“) artikli 94 lõike 1 punktiga g.</w:t>
            </w:r>
          </w:p>
        </w:tc>
      </w:tr>
      <w:tr w:rsidR="00965CEB" w:rsidRPr="007F4CC8" w14:paraId="55F04AE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84BF53B" w14:textId="77777777" w:rsidR="00965CEB" w:rsidRPr="007F4CC8" w:rsidRDefault="00965CEB" w:rsidP="004F3087">
            <w:pPr>
              <w:pStyle w:val="Applicationdirecte"/>
              <w:spacing w:before="0" w:after="0"/>
              <w:jc w:val="center"/>
            </w:pPr>
            <w:r>
              <w:t>e</w:t>
            </w:r>
          </w:p>
        </w:tc>
        <w:tc>
          <w:tcPr>
            <w:tcW w:w="7655" w:type="dxa"/>
            <w:tcBorders>
              <w:top w:val="single" w:sz="4" w:space="0" w:color="auto"/>
              <w:left w:val="single" w:sz="4" w:space="0" w:color="auto"/>
              <w:bottom w:val="single" w:sz="4" w:space="0" w:color="auto"/>
              <w:right w:val="single" w:sz="4" w:space="0" w:color="auto"/>
            </w:tcBorders>
            <w:vAlign w:val="center"/>
          </w:tcPr>
          <w:p w14:paraId="050BAF48"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Kirjeldus selle kohta, kuidas finantsinstitutsioon püüab seostada töötulemused nende mõõtmise perioodil töötasu suurusega.</w:t>
            </w:r>
          </w:p>
          <w:p w14:paraId="2C4FFE47"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Avalikustatakse järgmine teave:</w:t>
            </w:r>
          </w:p>
          <w:p w14:paraId="13DAA836"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ülevaade peamistest tulemuskriteeriumidest ja parameetritest finantsinstitutsiooni, äriliinide ja üksikisikute jaoks;</w:t>
            </w:r>
          </w:p>
          <w:p w14:paraId="4673DEDB"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ülevaade sellest, kuidas individuaalsete muutuvtasude summad on seotud finantsinstitutsiooni kui terviku ja individuaalsete tulemustega;</w:t>
            </w:r>
          </w:p>
          <w:p w14:paraId="66395D16"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teave kriteeriumide kohta, mida kasutatakse eri liiki määratud instrumentide (sh aktsiad, samaväärsed osalused, optsioonid ja muud instrumendid) vahelise tasakaalu kindlaksmääramiseks;</w:t>
            </w:r>
          </w:p>
          <w:p w14:paraId="41B4F38D" w14:textId="77777777" w:rsidR="00965CEB" w:rsidRPr="007F4CC8" w:rsidRDefault="00965CEB" w:rsidP="00965CEB">
            <w:pPr>
              <w:pStyle w:val="ListParagraph"/>
              <w:numPr>
                <w:ilvl w:val="0"/>
                <w:numId w:val="3"/>
              </w:numPr>
              <w:spacing w:before="60" w:after="120"/>
              <w:jc w:val="both"/>
              <w:rPr>
                <w:rFonts w:ascii="Times New Roman" w:hAnsi="Times New Roman"/>
                <w:sz w:val="24"/>
              </w:rPr>
            </w:pPr>
            <w:r>
              <w:rPr>
                <w:rFonts w:ascii="Times New Roman" w:hAnsi="Times New Roman"/>
                <w:sz w:val="24"/>
              </w:rPr>
              <w:t>teave meetmete kohta, mida finantsinstitutsioon rakendab muutuvtasu korrigeerimiseks juhul, kui tulemusnäitajad on kehvad, sealhulgas finantsinstitutsiooni kriteeriumid tulemusnäitajate kindlaksmääramiseks, kui tulemusnäitajaid peetakse „kehvaks“. Vastavalt kapitalinõuete direktiivi artikli 94 lõike 1 punktile n makstakse muutuvtasud välja või neid saadakse juhul, kui see on finantsinstitutsiooni, äriüksuse ja asjaomase üksikisiku töötulemusi arvestades õigustatud. Finantsinstitutsioonid selgitavad kriteeriume/künniseid, mille alusel tehakse kindlaks, et töötulemused on kehvad ega õigusta muutuvtasu maksmist või saamist.</w:t>
            </w:r>
          </w:p>
        </w:tc>
      </w:tr>
      <w:tr w:rsidR="00965CEB" w:rsidRPr="007F4CC8" w14:paraId="1F6FE8C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E766238" w14:textId="77777777" w:rsidR="00965CEB" w:rsidRPr="007F4CC8" w:rsidRDefault="00965CEB" w:rsidP="004F3087">
            <w:pPr>
              <w:pStyle w:val="Applicationdirecte"/>
              <w:spacing w:before="0" w:after="0"/>
              <w:jc w:val="center"/>
            </w:pPr>
            <w:r>
              <w:t>f</w:t>
            </w:r>
          </w:p>
        </w:tc>
        <w:tc>
          <w:tcPr>
            <w:tcW w:w="7655" w:type="dxa"/>
            <w:tcBorders>
              <w:top w:val="single" w:sz="4" w:space="0" w:color="auto"/>
              <w:left w:val="single" w:sz="4" w:space="0" w:color="auto"/>
              <w:bottom w:val="single" w:sz="4" w:space="0" w:color="auto"/>
              <w:right w:val="single" w:sz="4" w:space="0" w:color="auto"/>
            </w:tcBorders>
            <w:vAlign w:val="center"/>
          </w:tcPr>
          <w:p w14:paraId="1EA30A89"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Kirjeldus selle kohta, kuidas finantsinstitutsioon püüab korrigeerida töötasu, et võtta arvesse pikaajalisi töötulemusi.</w:t>
            </w:r>
          </w:p>
          <w:p w14:paraId="6FD7FDE9"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lastRenderedPageBreak/>
              <w:t>Avalikustatakse järgmine teave:</w:t>
            </w:r>
          </w:p>
          <w:p w14:paraId="4C34D32C"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ülevaade finantsinstitutsiooni põhimõtetest, mis käsitlevad edasilükkamist, instrumentides väljamaksmist, kinnihoidmisperioode ja nõudeõiguse tekkimist muutuvtasule, sealhulgas juhul, kui see on töötajate või töötajate kategooriate lõikes erinev;</w:t>
            </w:r>
          </w:p>
          <w:p w14:paraId="21961ED2"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teave finantsinstitutsiooni tagantjärele korrigeerimise kriteeriumide kohta (</w:t>
            </w:r>
            <w:r>
              <w:rPr>
                <w:rFonts w:ascii="Times New Roman" w:hAnsi="Times New Roman"/>
                <w:i/>
                <w:sz w:val="24"/>
              </w:rPr>
              <w:t>malus</w:t>
            </w:r>
            <w:r>
              <w:rPr>
                <w:rFonts w:ascii="Times New Roman" w:hAnsi="Times New Roman"/>
                <w:sz w:val="24"/>
              </w:rPr>
              <w:t xml:space="preserve"> edasilükkamise ajal ja tagasinõudmine pärast nõudeõiguse tekkimist, kui see on siseriikliku õigusega lubatud);</w:t>
            </w:r>
          </w:p>
          <w:p w14:paraId="17291DFB" w14:textId="77777777" w:rsidR="00965CEB" w:rsidRPr="007F4CC8" w:rsidRDefault="00965CEB" w:rsidP="00965CEB">
            <w:pPr>
              <w:pStyle w:val="ListParagraph"/>
              <w:numPr>
                <w:ilvl w:val="0"/>
                <w:numId w:val="3"/>
              </w:numPr>
              <w:spacing w:before="60" w:after="120"/>
              <w:jc w:val="both"/>
              <w:rPr>
                <w:rFonts w:ascii="Times New Roman" w:hAnsi="Times New Roman"/>
                <w:b/>
                <w:sz w:val="24"/>
                <w:szCs w:val="24"/>
              </w:rPr>
            </w:pPr>
            <w:r>
              <w:rPr>
                <w:rFonts w:ascii="Times New Roman" w:hAnsi="Times New Roman"/>
                <w:sz w:val="24"/>
              </w:rPr>
              <w:t>vajaduse korral osaluse nõuded, mida võidakse kohaldada kindlaksmääratud töötajate suhtes.</w:t>
            </w:r>
          </w:p>
        </w:tc>
      </w:tr>
      <w:tr w:rsidR="00965CEB" w:rsidRPr="007F4CC8" w14:paraId="67C1F13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3429FF2" w14:textId="77777777" w:rsidR="00965CEB" w:rsidRPr="007F4CC8" w:rsidRDefault="00965CEB" w:rsidP="004F3087">
            <w:pPr>
              <w:pStyle w:val="Applicationdirecte"/>
              <w:spacing w:before="0" w:after="0"/>
              <w:jc w:val="center"/>
            </w:pPr>
            <w:r>
              <w:lastRenderedPageBreak/>
              <w:t>g</w:t>
            </w:r>
          </w:p>
        </w:tc>
        <w:tc>
          <w:tcPr>
            <w:tcW w:w="7655" w:type="dxa"/>
            <w:tcBorders>
              <w:top w:val="single" w:sz="4" w:space="0" w:color="auto"/>
              <w:left w:val="single" w:sz="4" w:space="0" w:color="auto"/>
              <w:bottom w:val="single" w:sz="4" w:space="0" w:color="auto"/>
              <w:right w:val="single" w:sz="4" w:space="0" w:color="auto"/>
            </w:tcBorders>
            <w:vAlign w:val="center"/>
          </w:tcPr>
          <w:p w14:paraId="4DFEC57B"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Iga muutuvkomponendi süsteemi ja muude mitterahaliste soodustuste põhiparameetrite ja põhjenduse kirjeldus, nagu osutatud kapitalinõuete määruse artikli 450 lõike 1 punktis f. Avalikustatakse järgmine teave:</w:t>
            </w:r>
          </w:p>
          <w:p w14:paraId="41EACCDC" w14:textId="77777777" w:rsidR="00965CEB" w:rsidRPr="007F4CC8" w:rsidRDefault="00965CEB" w:rsidP="00965CEB">
            <w:pPr>
              <w:pStyle w:val="ListParagraph"/>
              <w:numPr>
                <w:ilvl w:val="0"/>
                <w:numId w:val="3"/>
              </w:numPr>
              <w:spacing w:before="60" w:after="120"/>
              <w:jc w:val="both"/>
              <w:rPr>
                <w:rFonts w:ascii="Times New Roman" w:hAnsi="Times New Roman"/>
                <w:sz w:val="24"/>
                <w:szCs w:val="24"/>
              </w:rPr>
            </w:pPr>
            <w:r>
              <w:rPr>
                <w:rFonts w:ascii="Times New Roman" w:hAnsi="Times New Roman"/>
                <w:sz w:val="24"/>
              </w:rPr>
              <w:t>teave konkreetsete riski-/tulemusnäitajate kohta, mida kasutatakse töötasu muutuvkomponentide kindlaksmääramiseks, ning kriteeriumide kohta, mida kasutatakse eri liiki määratud instrumentide (sh aktsiad, samaväärsed osalused, aktsiatega seotud instrumendid, samaväärsed mitterahalised instrumendid, optsioonid ja muud instrumendid) vahelise tasakaalu kindlaksmääramiseks.</w:t>
            </w:r>
          </w:p>
        </w:tc>
      </w:tr>
      <w:tr w:rsidR="00965CEB" w:rsidRPr="007F4CC8" w14:paraId="1226A1B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64F5D91" w14:textId="77777777" w:rsidR="00965CEB" w:rsidRPr="007F4CC8" w:rsidRDefault="00965CEB" w:rsidP="004F3087">
            <w:pPr>
              <w:pStyle w:val="Applicationdirecte"/>
              <w:spacing w:before="0" w:after="0"/>
              <w:jc w:val="center"/>
            </w:pPr>
            <w:r>
              <w:t>h</w:t>
            </w:r>
          </w:p>
        </w:tc>
        <w:tc>
          <w:tcPr>
            <w:tcW w:w="7655" w:type="dxa"/>
            <w:tcBorders>
              <w:top w:val="single" w:sz="4" w:space="0" w:color="auto"/>
              <w:left w:val="single" w:sz="4" w:space="0" w:color="auto"/>
              <w:bottom w:val="single" w:sz="4" w:space="0" w:color="auto"/>
              <w:right w:val="single" w:sz="4" w:space="0" w:color="auto"/>
            </w:tcBorders>
            <w:vAlign w:val="center"/>
          </w:tcPr>
          <w:p w14:paraId="7DC538F2"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Asjakohase liikmesriigi või pädeva asutuse taotluse korral juhtorgani või kõrgema juhtkonna iga liikme kogu töötasu, nagu osutatud kapitalinõuete määruse artikli 450 lõike 1 punktis j.</w:t>
            </w:r>
          </w:p>
        </w:tc>
      </w:tr>
      <w:tr w:rsidR="00965CEB" w:rsidRPr="007F4CC8" w14:paraId="55274E1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F179305" w14:textId="77777777" w:rsidR="00965CEB" w:rsidRPr="007F4CC8" w:rsidRDefault="00965CEB" w:rsidP="004F3087">
            <w:pPr>
              <w:pStyle w:val="Applicationdirecte"/>
              <w:spacing w:before="0" w:after="0"/>
              <w:jc w:val="center"/>
            </w:pPr>
            <w:r>
              <w:t>i</w:t>
            </w:r>
          </w:p>
        </w:tc>
        <w:tc>
          <w:tcPr>
            <w:tcW w:w="7655" w:type="dxa"/>
            <w:tcBorders>
              <w:top w:val="single" w:sz="4" w:space="0" w:color="auto"/>
              <w:left w:val="single" w:sz="4" w:space="0" w:color="auto"/>
              <w:bottom w:val="single" w:sz="4" w:space="0" w:color="auto"/>
              <w:right w:val="single" w:sz="4" w:space="0" w:color="auto"/>
            </w:tcBorders>
            <w:vAlign w:val="center"/>
          </w:tcPr>
          <w:p w14:paraId="76700BF7"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Teave selle kohta, kas finantsinstitutsiooni suhtes kohaldatakse kapitalinõuete direktiivi artikli 94 lõikes 3 sätestatud erandit, nagu osutatud kapitalinõuete määruse artikli 450 lõike 1 punktis k.</w:t>
            </w:r>
          </w:p>
          <w:p w14:paraId="43880B53"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Selle punkti kohaldamisel peavad finantsinstitutsioonid, kelle puhul sellist erandit kohaldatakse, märkima, kas erandit kohaldatakse kapitalinõuete direktiivi artikli 94 lõike 3 punkti a või b alusel. Samuti peavad nad märkima, millistele tasustamisnõuete suhtes nad erandit kohaldavad (st kapitalinõuete direktiivi artikli 94 lõike 1 punkt i ja/või m ja/või o), mitme töötaja suhtes seda kohaldatakse ja kui suur on nende kogu töötasu, jagatuna põhi- ja muutuvtasuks.</w:t>
            </w:r>
          </w:p>
        </w:tc>
      </w:tr>
      <w:tr w:rsidR="00965CEB" w:rsidRPr="007F4CC8" w14:paraId="2297665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FEB8126" w14:textId="77777777" w:rsidR="00965CEB" w:rsidRPr="007F4CC8" w:rsidRDefault="00965CEB" w:rsidP="004F3087">
            <w:pPr>
              <w:pStyle w:val="Applicationdirecte"/>
              <w:spacing w:before="0" w:after="0"/>
              <w:jc w:val="center"/>
            </w:pPr>
            <w:r>
              <w:t>(j)</w:t>
            </w:r>
          </w:p>
        </w:tc>
        <w:tc>
          <w:tcPr>
            <w:tcW w:w="7655" w:type="dxa"/>
            <w:tcBorders>
              <w:top w:val="single" w:sz="4" w:space="0" w:color="auto"/>
              <w:left w:val="single" w:sz="4" w:space="0" w:color="auto"/>
              <w:bottom w:val="single" w:sz="4" w:space="0" w:color="auto"/>
              <w:right w:val="single" w:sz="4" w:space="0" w:color="auto"/>
            </w:tcBorders>
            <w:vAlign w:val="center"/>
          </w:tcPr>
          <w:p w14:paraId="68C682DE"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Suured finantsinstitutsioonid avalikustavad kvantitatiivse teabe oma kollektiivse juhtorgani töötasude kohta, eristades tegev- ja muude liikmete töötasu, nagu osutatud kapitalinõuete määruse artikli 450 lõikes 2.</w:t>
            </w:r>
          </w:p>
        </w:tc>
      </w:tr>
    </w:tbl>
    <w:p w14:paraId="253E4D29" w14:textId="77777777" w:rsidR="00965CEB" w:rsidRPr="007F4CC8" w:rsidRDefault="00965CEB" w:rsidP="00965CEB">
      <w:pPr>
        <w:pStyle w:val="Titlelevel2"/>
        <w:spacing w:before="120" w:after="120"/>
        <w:rPr>
          <w:rFonts w:ascii="Times New Roman" w:hAnsi="Times New Roman" w:cs="Times New Roman"/>
          <w:b/>
          <w:color w:val="auto"/>
          <w:sz w:val="24"/>
          <w:lang w:val="en-GB"/>
        </w:rPr>
      </w:pPr>
    </w:p>
    <w:p w14:paraId="6222D5CA" w14:textId="77777777" w:rsidR="00965CEB" w:rsidRPr="007F4CC8" w:rsidRDefault="00965CEB" w:rsidP="00965CEB">
      <w:pPr>
        <w:pStyle w:val="Titlelevel2"/>
        <w:spacing w:before="120" w:after="120"/>
        <w:rPr>
          <w:rFonts w:ascii="Times New Roman" w:hAnsi="Times New Roman" w:cs="Times New Roman"/>
          <w:b/>
          <w:color w:val="auto"/>
          <w:sz w:val="24"/>
          <w:lang w:val="en-GB"/>
        </w:rPr>
      </w:pPr>
    </w:p>
    <w:p w14:paraId="6D70938D" w14:textId="77777777" w:rsidR="00965CEB" w:rsidRPr="007F4CC8" w:rsidRDefault="00965CEB" w:rsidP="00965CEB">
      <w:pPr>
        <w:pStyle w:val="Titlelevel2"/>
        <w:spacing w:before="120" w:after="120"/>
        <w:rPr>
          <w:rFonts w:ascii="Times New Roman" w:hAnsi="Times New Roman" w:cs="Times New Roman"/>
          <w:b/>
          <w:color w:val="auto"/>
          <w:sz w:val="24"/>
          <w:lang w:val="en-GB"/>
        </w:rPr>
      </w:pPr>
    </w:p>
    <w:p w14:paraId="12D97B04" w14:textId="77777777" w:rsidR="00965CEB" w:rsidRPr="007F4CC8" w:rsidRDefault="00965CEB" w:rsidP="00965CEB">
      <w:pPr>
        <w:pStyle w:val="Titlelevel2"/>
        <w:spacing w:before="120" w:after="120"/>
        <w:rPr>
          <w:rFonts w:ascii="Times New Roman" w:hAnsi="Times New Roman" w:cs="Times New Roman"/>
          <w:b/>
          <w:color w:val="auto"/>
          <w:sz w:val="24"/>
          <w:lang w:val="en-GB"/>
        </w:rPr>
      </w:pPr>
    </w:p>
    <w:p w14:paraId="3C51066B" w14:textId="77777777" w:rsidR="00965CEB" w:rsidRPr="007F4CC8" w:rsidRDefault="00965CEB" w:rsidP="00965CEB">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Vorm EU REM1. Majandusaasta eest määratud töötasu. </w:t>
      </w:r>
      <w:r>
        <w:rPr>
          <w:rFonts w:ascii="Times New Roman" w:hAnsi="Times New Roman"/>
          <w:color w:val="auto"/>
          <w:sz w:val="24"/>
        </w:rPr>
        <w:t>Muutumatu vorming</w:t>
      </w:r>
    </w:p>
    <w:p w14:paraId="0B701908"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lastRenderedPageBreak/>
        <w:t>Kapitalinõuete määruse artikli 450 lõike 1 punkti h alapunktide i–ii kohaldamisel järgivad finantsinstitutsioonid allpool esitatud juhiseid, et täita vorm EU REM1, mis on esitatud käesoleva rakendusmääruse XXXIII lisas.</w:t>
      </w:r>
    </w:p>
    <w:p w14:paraId="667CF96F" w14:textId="77777777" w:rsidR="00965CEB" w:rsidRPr="007F4CC8" w:rsidRDefault="00965CEB" w:rsidP="00965CEB">
      <w:pPr>
        <w:pStyle w:val="Titlelevel2"/>
        <w:spacing w:before="120" w:after="120"/>
        <w:ind w:left="720"/>
        <w:jc w:val="both"/>
        <w:rPr>
          <w:rFonts w:ascii="Times New Roman" w:eastAsiaTheme="minorEastAsia" w:hAnsi="Times New Roman" w:cs="Times New Roman"/>
          <w:bCs w:val="0"/>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588485A9"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79F3A2" w14:textId="77777777" w:rsidR="00965CEB" w:rsidRPr="007F4CC8" w:rsidRDefault="00965CEB" w:rsidP="004F3087">
            <w:pPr>
              <w:rPr>
                <w:rFonts w:ascii="Times New Roman" w:hAnsi="Times New Roman" w:cs="Times New Roman"/>
                <w:b/>
                <w:sz w:val="24"/>
              </w:rPr>
            </w:pPr>
            <w:r>
              <w:rPr>
                <w:rFonts w:ascii="Times New Roman" w:hAnsi="Times New Roman"/>
                <w:b/>
                <w:sz w:val="24"/>
              </w:rPr>
              <w:t>Viited õigussätetele ja juhised</w:t>
            </w:r>
          </w:p>
        </w:tc>
      </w:tr>
      <w:tr w:rsidR="00965CEB" w:rsidRPr="007F4CC8" w14:paraId="6BE5DB3C" w14:textId="77777777" w:rsidTr="004F3087">
        <w:trPr>
          <w:trHeight w:val="238"/>
        </w:trPr>
        <w:tc>
          <w:tcPr>
            <w:tcW w:w="1384" w:type="dxa"/>
            <w:shd w:val="clear" w:color="auto" w:fill="D9D9D9" w:themeFill="background1" w:themeFillShade="D9"/>
          </w:tcPr>
          <w:p w14:paraId="6F088F3D"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366C181D"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965CEB" w:rsidRPr="007F4CC8" w14:paraId="796E366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C1890AB"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 ja 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572E457"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Kindlaksmääratud töötajate arv</w:t>
            </w:r>
          </w:p>
          <w:p w14:paraId="23AE8698"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Nende töötajate arv, kelle ametialane tegevus mõjutab oluliselt finantsinstitutsioonide riskiprofiili, nagu sätestatud kapitalinõuete direktiivi artiklis 92 ja kindlaksmääratud töötajaid käsitlevas komisjoni delegeeritud määruses,</w:t>
            </w:r>
            <w:r w:rsidRPr="007F4CC8">
              <w:rPr>
                <w:rStyle w:val="FootnoteReference"/>
                <w:rFonts w:ascii="Times New Roman" w:hAnsi="Times New Roman" w:cs="Times New Roman"/>
                <w:sz w:val="24"/>
              </w:rPr>
              <w:footnoteReference w:id="3"/>
            </w:r>
            <w:r>
              <w:rPr>
                <w:rFonts w:ascii="Times New Roman" w:hAnsi="Times New Roman"/>
                <w:sz w:val="24"/>
              </w:rPr>
              <w:t xml:space="preserve"> millega rakendatakse kapitalinõuete direktiivi artikli 94 lõiget 2 (kindlaksmääratud töötajad), ning kes saavad kasu vormis loetletud töötasu komponentidest. Selle arvutamiseks kasutatakse täistööajale taandatud töötajate arvu meetodit kindlaksmääratud töötajate puhul, kes ei ole juhtorgani liikmed; viimaste arv esitatakse töötajate arvuna.</w:t>
            </w:r>
          </w:p>
        </w:tc>
      </w:tr>
      <w:tr w:rsidR="00965CEB" w:rsidRPr="007F4CC8" w14:paraId="6023846F"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42A0EAC"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C819CB3"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Põhitasu kogusumma</w:t>
            </w:r>
          </w:p>
          <w:p w14:paraId="03654C0F"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Vormi ridadel 3–7 esitatud summade kogusumma.</w:t>
            </w:r>
          </w:p>
        </w:tc>
      </w:tr>
      <w:tr w:rsidR="00965CEB" w:rsidRPr="007F4CC8" w14:paraId="5807918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9C7DE0"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795D544"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Millest: rahapõhine</w:t>
            </w:r>
          </w:p>
          <w:p w14:paraId="1A2351D8"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Rahapõhise tasu summa põhitasus.</w:t>
            </w:r>
          </w:p>
        </w:tc>
      </w:tr>
      <w:tr w:rsidR="00965CEB" w:rsidRPr="007F4CC8" w14:paraId="7596F3C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66BB84"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EU-4a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13477C4"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Millest: aktsiad ja osad või samaväärsed osalused</w:t>
            </w:r>
          </w:p>
          <w:p w14:paraId="14E3789E"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Kapitalinõuete direktiivi artikli 94 lõike 1 punkti l alapunktis i osutatud asjaomase finantsinstitutsiooni õiguslikust vormist sõltuvate aktsiate ja osade või samaväärsete osaluste summade kogusumma põhitasus.</w:t>
            </w:r>
          </w:p>
        </w:tc>
      </w:tr>
      <w:tr w:rsidR="00965CEB" w:rsidRPr="007F4CC8" w14:paraId="048B3C4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1303D7"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873455" w14:textId="19083F5C"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Millest: aktsiate ja osadega seotud instrumendid või samaväärsed mitterahalised instrumendid</w:t>
            </w:r>
          </w:p>
          <w:p w14:paraId="54EF89ED" w14:textId="7777777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Kapitalinõuete direktiivi artikli 94 lõike 1 punkti l alapunktis i osutatud aktsiate ja osadega seotud instrumentide või samaväärsete mitterahaliste instrumentide summade kogusumma põhitasus.</w:t>
            </w:r>
          </w:p>
        </w:tc>
      </w:tr>
      <w:tr w:rsidR="00965CEB" w:rsidRPr="007F4CC8" w14:paraId="67599F4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C93B725"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EU-5x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9E5FA5A"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Millest: muud instrumendid</w:t>
            </w:r>
          </w:p>
          <w:p w14:paraId="06C24EE7" w14:textId="7777777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Kapitalinõuete direktiivi artikli 94 lõike 1 punkti l alapunktis ii osutatud muude instrumentide summa põhitasus.</w:t>
            </w:r>
          </w:p>
        </w:tc>
      </w:tr>
      <w:tr w:rsidR="00965CEB" w:rsidRPr="007F4CC8" w14:paraId="3112498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4412D54"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374DFFD"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Millest: muud vormid</w:t>
            </w:r>
          </w:p>
          <w:p w14:paraId="35C192C0"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Majandusaasta eest määratud põhitasu summad, mida ei ole avalikustatud muudel ridadel põhitasu kogusumma all.</w:t>
            </w:r>
          </w:p>
          <w:p w14:paraId="5E279F2C"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See võib hõlmata kapitalinõuete direktiivi põhjenduses 64 osutatud proportsionaalseid regulaarseid pensionimakseid või hüvitisi (kui selliste </w:t>
            </w:r>
            <w:r>
              <w:rPr>
                <w:rFonts w:ascii="Times New Roman" w:hAnsi="Times New Roman"/>
                <w:sz w:val="24"/>
              </w:rPr>
              <w:lastRenderedPageBreak/>
              <w:t>hüvitiste puhul ei võeta arvesse tulemuskriteeriume) või muid tasuvorme, nagu autotoetused.</w:t>
            </w:r>
          </w:p>
        </w:tc>
      </w:tr>
      <w:tr w:rsidR="00965CEB" w:rsidRPr="007F4CC8" w14:paraId="32ABF286"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9AB0A2"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lastRenderedPageBreak/>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A76F75E"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Muutuvtasu kogusumma</w:t>
            </w:r>
          </w:p>
          <w:p w14:paraId="00FC93B0"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Vormi ridadel 11, EU-13a, EU-13b, EU-14x ja 15 esitatud summade kogusumma.</w:t>
            </w:r>
          </w:p>
          <w:p w14:paraId="74BA85CD"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Kõigi selliste töötasu komponentide summa, mis ei ole vormi real 2 avalikustatud põhitasu, sealhulgas arvestatakse asjaomasel aastal määratud tagatud muutuvtasusid ja ülesütlemishüvitisi.</w:t>
            </w:r>
          </w:p>
        </w:tc>
      </w:tr>
      <w:tr w:rsidR="00965CEB" w:rsidRPr="007F4CC8" w14:paraId="76911A2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83D706"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1DCBA94"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Millest: rahapõhine</w:t>
            </w:r>
          </w:p>
          <w:p w14:paraId="2BEE787D"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Rahapõhise tasu summa muutuvtasus.</w:t>
            </w:r>
          </w:p>
        </w:tc>
      </w:tr>
      <w:tr w:rsidR="00965CEB" w:rsidRPr="007F4CC8" w14:paraId="721EE2BE"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7A4C2E7" w14:textId="77777777" w:rsidR="00965CEB" w:rsidRPr="00346640"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12, EU-14a, EU-14b, EU-14y ja 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6D5DA14"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Millest: edasilükatud</w:t>
            </w:r>
          </w:p>
          <w:p w14:paraId="151C1A05"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Kapitalinõuete direktiivi artikli 94 kohaselt kindlaks määratud muutuvtasu summad eri liiki edasi lükatud komponentide kaupa.</w:t>
            </w:r>
          </w:p>
        </w:tc>
      </w:tr>
      <w:tr w:rsidR="00965CEB" w:rsidRPr="007F4CC8" w14:paraId="2F521362"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ED8451"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EU-13a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F9E37B"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Millest: aktsiad ja osad või samaväärsed osalused</w:t>
            </w:r>
          </w:p>
          <w:p w14:paraId="4498A72C"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Kapitalinõuete direktiivi artikli 94 lõike 1 punkti l alapunktis i osutatud asjaomase finantsinstitutsiooni õiguslikust vormist sõltuvate aktsiate ja osade või samaväärsete osaluste summade kogusumma muutuvtasus.</w:t>
            </w:r>
          </w:p>
        </w:tc>
      </w:tr>
      <w:tr w:rsidR="00965CEB" w:rsidRPr="007F4CC8" w14:paraId="54AF9B69"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BE6C9E"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EU-13b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59D751" w14:textId="6C7375C6"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Millest: aktsiate ja osadega seotud instrumendid või samaväärsed mitterahalised instrumendid</w:t>
            </w:r>
          </w:p>
          <w:p w14:paraId="6FA62A3F" w14:textId="7777777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Kapitalinõuete direktiivi artikli 94 lõike 1 punkti l alapunktis i osutatud aktsiate ja osadega seotud instrumentide või samaväärsete mitterahaliste instrumentide summade kogusumma muutuvtasus.</w:t>
            </w:r>
          </w:p>
        </w:tc>
      </w:tr>
      <w:tr w:rsidR="00965CEB" w:rsidRPr="007F4CC8" w14:paraId="5FFBFCE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FE9F3F7"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EU-14x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D414F5A"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Millest: muud instrumendid</w:t>
            </w:r>
          </w:p>
          <w:p w14:paraId="4D8E1D04" w14:textId="77777777" w:rsidR="00965CEB" w:rsidRPr="007F4CC8" w:rsidRDefault="00965CEB" w:rsidP="004F3087">
            <w:pPr>
              <w:autoSpaceDE w:val="0"/>
              <w:autoSpaceDN w:val="0"/>
              <w:adjustRightInd w:val="0"/>
              <w:spacing w:after="120"/>
              <w:jc w:val="both"/>
              <w:rPr>
                <w:rFonts w:ascii="Times New Roman" w:hAnsi="Times New Roman"/>
                <w:b/>
                <w:sz w:val="24"/>
              </w:rPr>
            </w:pPr>
            <w:r>
              <w:rPr>
                <w:rFonts w:ascii="Times New Roman" w:hAnsi="Times New Roman"/>
                <w:sz w:val="24"/>
              </w:rPr>
              <w:t>Kapitalinõuete direktiivi artikli 94 lõike 1 punkti l alapunktis ii osutatud muude instrumentide summa muutuvtasus.</w:t>
            </w:r>
          </w:p>
        </w:tc>
      </w:tr>
      <w:tr w:rsidR="00965CEB" w:rsidRPr="007F4CC8" w14:paraId="4B762FE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12199E2"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11951E2"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Millest: muud vormid</w:t>
            </w:r>
          </w:p>
          <w:p w14:paraId="236742B0"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Majandusaasta eest määratud muutuvtasu summad, mida ei ole avalikustatud muudel ridadel muutuvtasu kogusumma all.</w:t>
            </w:r>
          </w:p>
        </w:tc>
      </w:tr>
      <w:tr w:rsidR="00965CEB" w:rsidRPr="007F4CC8" w14:paraId="765DE5F9"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17B1B1"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8089CCD" w14:textId="77777777" w:rsidR="00965CEB" w:rsidRPr="007F4CC8" w:rsidRDefault="00965CEB" w:rsidP="004F3087">
            <w:pPr>
              <w:autoSpaceDE w:val="0"/>
              <w:autoSpaceDN w:val="0"/>
              <w:adjustRightInd w:val="0"/>
              <w:spacing w:after="120"/>
              <w:rPr>
                <w:rFonts w:ascii="Times New Roman" w:hAnsi="Times New Roman"/>
                <w:sz w:val="24"/>
              </w:rPr>
            </w:pPr>
            <w:r>
              <w:rPr>
                <w:rFonts w:ascii="Times New Roman" w:hAnsi="Times New Roman"/>
                <w:sz w:val="24"/>
              </w:rPr>
              <w:t>Töötasu kogusumma</w:t>
            </w:r>
          </w:p>
          <w:p w14:paraId="7D746BF1"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Vormi ridadel 2 ja 10 esitatud summade kogusumma.</w:t>
            </w:r>
          </w:p>
        </w:tc>
      </w:tr>
      <w:tr w:rsidR="00965CEB" w:rsidRPr="007F4CC8" w14:paraId="7636FF7D"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4C712E" w14:textId="77777777" w:rsidR="00965CEB" w:rsidRPr="007F4CC8" w:rsidRDefault="00965CEB" w:rsidP="004F3087">
            <w:pPr>
              <w:pStyle w:val="Applicationdirecte"/>
              <w:spacing w:before="0"/>
              <w:jc w:val="center"/>
              <w:rPr>
                <w:b/>
              </w:rPr>
            </w:pPr>
            <w:r>
              <w:rPr>
                <w:b/>
              </w:rPr>
              <w:t>Veeru täht</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9E9E99" w14:textId="77777777" w:rsidR="00965CEB" w:rsidRPr="007F4CC8" w:rsidRDefault="00965CEB" w:rsidP="004F3087">
            <w:pPr>
              <w:pStyle w:val="TableMainHeading"/>
              <w:spacing w:before="60"/>
              <w:rPr>
                <w:rFonts w:ascii="Times New Roman" w:hAnsi="Times New Roman"/>
                <w:b/>
                <w:sz w:val="24"/>
                <w:szCs w:val="24"/>
              </w:rPr>
            </w:pPr>
            <w:r>
              <w:rPr>
                <w:rFonts w:ascii="Times New Roman" w:hAnsi="Times New Roman"/>
                <w:b/>
                <w:sz w:val="24"/>
              </w:rPr>
              <w:t>Selgitus</w:t>
            </w:r>
          </w:p>
        </w:tc>
      </w:tr>
      <w:tr w:rsidR="00965CEB" w:rsidRPr="007F4CC8" w14:paraId="032AF07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F4492F"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4A863C5"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Juhtorgani järelevalvefunktsioon</w:t>
            </w:r>
          </w:p>
          <w:p w14:paraId="5B085248" w14:textId="247A26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Järelevalvefunktsiooni täitev juhtorgan kui juhtorgan, mis tegutseb oma rollis juhtkonna otsuste tegemise jälgija ja kontrollijana, nagu määratletud kapitalinõuete direktiivi artikli 3 lõike 1 punktis 8.</w:t>
            </w:r>
          </w:p>
          <w:p w14:paraId="69498C90" w14:textId="7D226EAE"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Finantsinstitutsioonid avalikustavad teabe, mis põhineb töötajate arvul.</w:t>
            </w:r>
          </w:p>
          <w:p w14:paraId="45A26C8B"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 xml:space="preserve">Kooskõlas kapitalinõuete määruse artikliga 13 avalikustavad ELis emaettevõtjana tegutsevad finantsinstitutsioonid selle teabe oma konsolideeritud olukorra alusel ning ELis emaettevõtjana tegutsevate </w:t>
            </w:r>
            <w:r>
              <w:rPr>
                <w:rFonts w:ascii="Times New Roman" w:hAnsi="Times New Roman"/>
                <w:sz w:val="24"/>
              </w:rPr>
              <w:lastRenderedPageBreak/>
              <w:t>finantsinstitutsioonide suured tütarettevõtjad avalikustavad selle teabe individuaalselt või vajaduse korral kooskõlas selle määruse ja kapitalinõuete direktiiviga allkonsolideeritud alusel. Avalikustav üksus esitab selles veerus teabe oma juhtorgani kohta. Kui kapitalinõuete määruse artiklite 6 ja 13 kohaselt avalikustatakse teave konsolideeritud või allkonsolideeritud tasandil, avalikustatakse teave tütarettevõtjate juhtorganite kindlaksmääratud töötajate kohta asjaomaste ärivaldkondade kaupa.</w:t>
            </w:r>
          </w:p>
        </w:tc>
      </w:tr>
      <w:tr w:rsidR="00965CEB" w:rsidRPr="007F4CC8" w14:paraId="0141859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586C50"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lastRenderedPageBreak/>
              <w:t>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83FF36F" w14:textId="2CFD060B"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Juhtorgani juhtimisfunktsioon</w:t>
            </w:r>
          </w:p>
          <w:p w14:paraId="286AC6E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Juhtorgani liikmed, kes vastutavad selle juhtimisfunktsioonide eest.</w:t>
            </w:r>
          </w:p>
          <w:p w14:paraId="235DAD77"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Finantsinstitutsioonid avalikustavad teabe, mis põhineb töötajate arvul.</w:t>
            </w:r>
          </w:p>
          <w:p w14:paraId="5BD47962"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Finantsinstitutsioonid avalikustavad teabe, mis põhineb töötajate arvul. Vastavalt kapitalinõuete määruse artiklile 13. ELis emaettevõtjana tegutsevad finantsinstitutsioonid avalikustavad selle teabe oma konsolideeritud olukorra alusel ning ELis emaettevõtjana tegutsevate finantsinstitutsioonide suured tütarettevõtjad avalikustavad selle teabe individuaalselt või vajaduse korral kooskõlas selle määruse ja kapitalinõuete direktiiviga allkonsolideeritud alusel. Avalikustav üksus esitab selles veerus teabe oma juhtorgani kohta. Kui kapitalinõuete määruse artiklite 6 ja 13 kohaselt avalikustatakse teave konsolideeritud või allkonsolideeritud tasandil, avalikustatakse teave tütarettevõtjate juhtorganite kindlaksmääratud töötajate kohta asjaomaste ärivaldkondade kaupa.</w:t>
            </w:r>
          </w:p>
        </w:tc>
      </w:tr>
      <w:tr w:rsidR="00965CEB" w:rsidRPr="007F4CC8" w14:paraId="07AF1D01"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AD9A70"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0A8C36"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Muu kõrgem juhtkond</w:t>
            </w:r>
          </w:p>
          <w:p w14:paraId="43B1CA8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Kõrgem juhtkond, nagu määratletud kapitalinõuete direktiivi artikli 3 lõike 1 punktis 9.</w:t>
            </w:r>
          </w:p>
          <w:p w14:paraId="16B3B83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Finantsinstitutsioonid avalikustavad oma selliste kõrgema juhtkonna liikmete arvu, keda pole märgitud juhtimisfunktsiooni täitva juhtorgani liikmetena ega muude kindlaksmääratud töötajatena. Finantsinstitutsioonid avalikustavad teabe täistööajale taandatud töötajate arvu põhjal.</w:t>
            </w:r>
          </w:p>
        </w:tc>
      </w:tr>
      <w:tr w:rsidR="00965CEB" w:rsidRPr="007F4CC8" w14:paraId="4E09CB2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F86EFA"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CC64ED3"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Muud kindlaksmääratud töötajad</w:t>
            </w:r>
          </w:p>
          <w:p w14:paraId="6ECAE4F8" w14:textId="01DD9F2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Muud töötajad, kes ei ole järelevalve- või juhtimisfunktsiooni täitva juhtorgani töötajad ega kõrgema juhtkonna liikmed, aga kelle ametialane tegevus mõjutab oluliselt finantsinstitutsiooni riskiprofiili kooskõlas kriteeriumidega, mis on sätestatud kindlaksmääratud töötajaid käsitlevas komisjoni delegeeritud määruses, millega rakendatakse kapitalinõuete direktiivi artikli 94 lõiget 2, ja vajaduse korral ka kooskõlas finantsinstitutsiooni kriteeriumidega.</w:t>
            </w:r>
          </w:p>
          <w:p w14:paraId="78BEE2A5"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Finantsinstitutsioonid võivad sellesse vormi lisada vormil EU REM5 pakutud jaotuse ärivaldkondade kaupa. Finantsinstitutsioonid avalikustavad teabe täistööajale taandatud töötajate arvu põhjal.</w:t>
            </w:r>
          </w:p>
        </w:tc>
      </w:tr>
    </w:tbl>
    <w:p w14:paraId="68C370B5" w14:textId="77777777" w:rsidR="00965CEB" w:rsidRPr="007F4CC8" w:rsidRDefault="00965CEB" w:rsidP="00965CEB">
      <w:pPr>
        <w:pStyle w:val="Titlelevel2"/>
        <w:spacing w:before="120" w:after="120"/>
        <w:rPr>
          <w:rFonts w:ascii="Times New Roman" w:hAnsi="Times New Roman" w:cs="Times New Roman"/>
          <w:color w:val="auto"/>
          <w:sz w:val="24"/>
          <w:lang w:val="en-GB"/>
        </w:rPr>
      </w:pPr>
    </w:p>
    <w:p w14:paraId="2CC7ABEB" w14:textId="77777777" w:rsidR="00965CEB" w:rsidRPr="007F4CC8" w:rsidRDefault="00965CEB" w:rsidP="00965CEB">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Vorm EU REM2. Erimaksed töötajatele, kelle ametialane tegevus mõjutab oluliselt finantsinstitutsiooni riskiprofiili (kindlaksmääratud töötajad). </w:t>
      </w:r>
      <w:r>
        <w:rPr>
          <w:rFonts w:ascii="Times New Roman" w:hAnsi="Times New Roman"/>
          <w:color w:val="auto"/>
          <w:sz w:val="24"/>
        </w:rPr>
        <w:t>Muutumatu vorming</w:t>
      </w:r>
    </w:p>
    <w:p w14:paraId="031B19E3"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lastRenderedPageBreak/>
        <w:t>Finantsinstitutsioonid avalikustavad kapitalinõuete määruse artikli 450 lõike 1 punkti h alapunktides v–vii osutatud teabe, järgides käesolevas lisas allpool esitatud juhiseid, et täita käesoleva rakendusmääruse XXXIII lisas esitatud vorm EU REM2.</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011801D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BCBFD4" w14:textId="77777777" w:rsidR="00965CEB" w:rsidRPr="007F4CC8" w:rsidRDefault="00965CEB" w:rsidP="004F3087">
            <w:pPr>
              <w:rPr>
                <w:rFonts w:ascii="Times New Roman" w:hAnsi="Times New Roman" w:cs="Times New Roman"/>
                <w:b/>
                <w:sz w:val="24"/>
              </w:rPr>
            </w:pPr>
            <w:r>
              <w:rPr>
                <w:rFonts w:ascii="Times New Roman" w:hAnsi="Times New Roman"/>
                <w:b/>
                <w:sz w:val="24"/>
              </w:rPr>
              <w:t>Viited õigussätetele ja juhised</w:t>
            </w:r>
          </w:p>
        </w:tc>
      </w:tr>
      <w:tr w:rsidR="00965CEB" w:rsidRPr="007F4CC8" w14:paraId="270A64D0" w14:textId="77777777" w:rsidTr="004F3087">
        <w:trPr>
          <w:trHeight w:val="238"/>
        </w:trPr>
        <w:tc>
          <w:tcPr>
            <w:tcW w:w="1384" w:type="dxa"/>
            <w:shd w:val="clear" w:color="auto" w:fill="D9D9D9" w:themeFill="background1" w:themeFillShade="D9"/>
          </w:tcPr>
          <w:p w14:paraId="110C173D"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17E42920"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965CEB" w:rsidRPr="007F4CC8" w14:paraId="7999388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4CA59E3" w14:textId="77777777" w:rsidR="00965CEB" w:rsidRPr="007F4CC8" w:rsidRDefault="00965CEB" w:rsidP="004F3087">
            <w:pPr>
              <w:pStyle w:val="Applicationdirecte"/>
              <w:spacing w:before="0" w:after="0"/>
              <w:jc w:val="center"/>
            </w:pPr>
            <w:r>
              <w:t>1, 4 ja 6</w:t>
            </w:r>
          </w:p>
        </w:tc>
        <w:tc>
          <w:tcPr>
            <w:tcW w:w="7655" w:type="dxa"/>
            <w:tcBorders>
              <w:top w:val="single" w:sz="4" w:space="0" w:color="auto"/>
              <w:left w:val="single" w:sz="4" w:space="0" w:color="auto"/>
              <w:bottom w:val="single" w:sz="4" w:space="0" w:color="auto"/>
              <w:right w:val="single" w:sz="4" w:space="0" w:color="auto"/>
            </w:tcBorders>
            <w:vAlign w:val="center"/>
          </w:tcPr>
          <w:p w14:paraId="71E7453F"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Kindlaksmääratud töötajate arv</w:t>
            </w:r>
          </w:p>
          <w:p w14:paraId="50587A12"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Nende kindlaksmääratud töötajate arv, kelle ametialane tegevus mõjutab oluliselt finantsinstitutsioonide riskiprofiili, nagu sätestatud kapitalinõuete direktiivi artiklis 92 ja kindlaksmääratud töötajaid käsitlevas komisjoni delegeeritud määruses, millega rakendatakse kapitalinõuete direktiivi artikli 94 lõiget 2, esitatuna konkreetsete töötasu komponentide kaupa.</w:t>
            </w:r>
          </w:p>
          <w:p w14:paraId="6D4FEBDD"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Vormi veergude a ja b (juhtorgan) puhul põhineb väärtus töötajate arvul. Vormi veergude c ja d puhul arvutatakse väärtus täistööajale taandatud töötajate arvu meetodil.</w:t>
            </w:r>
          </w:p>
          <w:p w14:paraId="2E1869A2"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Vormi real 4 osutatakse varasematel perioodidel määratud ja asjaomasel majandusaastal (käesolev aasta) makstud ülesütlemishüvitistele ning vormi real 6 asjaomasel majandusaastal (käesolev aasta) määratud ülesütlemishüvitistele.</w:t>
            </w:r>
          </w:p>
        </w:tc>
      </w:tr>
      <w:tr w:rsidR="00965CEB" w:rsidRPr="007F4CC8" w14:paraId="06192E0B"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6197FBD" w14:textId="77777777" w:rsidR="00965CEB" w:rsidRPr="007F4CC8" w:rsidRDefault="00965CEB" w:rsidP="004F3087">
            <w:pPr>
              <w:pStyle w:val="Applicationdirecte"/>
              <w:spacing w:before="0" w:after="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1B46253E"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Määratud tagatud muutuvtasud – kogusumma</w:t>
            </w:r>
          </w:p>
          <w:p w14:paraId="6D0F7C1C"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Määratud tagatud muutuvtasude summa, nagu osutatud kapitalinõuete direktiivi artikli 94 lõike 1 punktis e.</w:t>
            </w:r>
          </w:p>
        </w:tc>
      </w:tr>
      <w:tr w:rsidR="00965CEB" w:rsidRPr="007F4CC8" w14:paraId="315511A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F0816D1" w14:textId="77777777" w:rsidR="00965CEB" w:rsidRPr="007F4CC8" w:rsidRDefault="00965CEB" w:rsidP="004F3087">
            <w:pPr>
              <w:pStyle w:val="Applicationdirecte"/>
              <w:spacing w:before="0" w:after="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446019F4"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Millest: asjaomasel majandusaastal makstud tagatud muutuvtasu, mida ei võeta arvesse preemiate ülempiiris</w:t>
            </w:r>
          </w:p>
          <w:p w14:paraId="35D0912A"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Majandusaastal (käesolev aasta) makstud kapitalinõuete direktiivi artikli 94 lõike 1 punkti e kohased tagatud muutuvtasude summad, mida ei võeta arvesse preemiate ülempiiri arvutamisel.</w:t>
            </w:r>
          </w:p>
          <w:p w14:paraId="1D5DC4D6"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Kapitalinõuete määruse artikli 450 lõike 1 punktis g ja punkti h alapunktides v–vi osutatud avalikustatava teabe puhul märgivad finantsinstitutsioonid selgelt, kas kvantitatiivne koondteave tasustamise kohta ärivaldkondade lõikes kajastab preemiate ülempiiri, kui tegemist on uute tööleasumistasude ja ülesütlemishüvitistega.</w:t>
            </w:r>
          </w:p>
        </w:tc>
      </w:tr>
      <w:tr w:rsidR="00965CEB" w:rsidRPr="007F4CC8" w14:paraId="0ACB8FB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792C0DB" w14:textId="77777777" w:rsidR="00965CEB" w:rsidRPr="007F4CC8" w:rsidRDefault="00965CEB" w:rsidP="004F3087">
            <w:pPr>
              <w:pStyle w:val="Applicationdirecte"/>
              <w:spacing w:before="0" w:after="0"/>
              <w:jc w:val="center"/>
            </w:pPr>
            <w:r>
              <w:t>5</w:t>
            </w:r>
          </w:p>
        </w:tc>
        <w:tc>
          <w:tcPr>
            <w:tcW w:w="7655" w:type="dxa"/>
            <w:tcBorders>
              <w:top w:val="single" w:sz="4" w:space="0" w:color="auto"/>
              <w:left w:val="single" w:sz="4" w:space="0" w:color="auto"/>
              <w:bottom w:val="single" w:sz="4" w:space="0" w:color="auto"/>
              <w:right w:val="single" w:sz="4" w:space="0" w:color="auto"/>
            </w:tcBorders>
            <w:vAlign w:val="center"/>
          </w:tcPr>
          <w:p w14:paraId="43FD6A33"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Eelmistel perioodidel määratud ülesütlemishüvitised, mis maksti välja asjaomasel majandusaastal – kogusumma</w:t>
            </w:r>
          </w:p>
          <w:p w14:paraId="6BDFFBCB"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Kapitalinõuete direktiivi artikli 94 lõike 1 punktis h osutatud selliste ülesütlemishüvitiste summa, mis on määratud eelmistel perioodidel ja makstud välja asjaomasel majandusaastal (käesolev aasta).</w:t>
            </w:r>
          </w:p>
        </w:tc>
      </w:tr>
      <w:tr w:rsidR="00965CEB" w:rsidRPr="007F4CC8" w14:paraId="1CD3B2F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E55016C" w14:textId="77777777" w:rsidR="00965CEB" w:rsidRPr="007F4CC8" w:rsidRDefault="00965CEB" w:rsidP="004F3087">
            <w:pPr>
              <w:pStyle w:val="Applicationdirecte"/>
              <w:spacing w:before="0" w:after="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5E2470F0"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Asjaomasel majandusaastal määratud ülesütlemishüvitised – kogusumma</w:t>
            </w:r>
          </w:p>
          <w:p w14:paraId="370D85D3"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Kapitalinõuete direktiivi artikli 94 lõike 1 punktis h osutatud selliste ülesütlemishüvitiste summa, mis on määratud asjaomasel majandusaastal (käesolev aasta).</w:t>
            </w:r>
          </w:p>
        </w:tc>
      </w:tr>
      <w:tr w:rsidR="00965CEB" w:rsidRPr="007F4CC8" w14:paraId="52F0521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0847F60" w14:textId="77777777" w:rsidR="00965CEB" w:rsidRPr="007F4CC8" w:rsidRDefault="00965CEB" w:rsidP="004F3087">
            <w:pPr>
              <w:pStyle w:val="Applicationdirecte"/>
              <w:spacing w:before="0" w:after="0"/>
              <w:jc w:val="center"/>
            </w:pPr>
            <w:r>
              <w:lastRenderedPageBreak/>
              <w:t>8</w:t>
            </w:r>
          </w:p>
        </w:tc>
        <w:tc>
          <w:tcPr>
            <w:tcW w:w="7655" w:type="dxa"/>
            <w:tcBorders>
              <w:top w:val="single" w:sz="4" w:space="0" w:color="auto"/>
              <w:left w:val="single" w:sz="4" w:space="0" w:color="auto"/>
              <w:bottom w:val="single" w:sz="4" w:space="0" w:color="auto"/>
              <w:right w:val="single" w:sz="4" w:space="0" w:color="auto"/>
            </w:tcBorders>
            <w:vAlign w:val="center"/>
          </w:tcPr>
          <w:p w14:paraId="761745B6"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Millest: asjaomasel majandusaastal määratud ülesütlemishüvitised – makstud välja asjaomasel majandusaastal</w:t>
            </w:r>
          </w:p>
          <w:p w14:paraId="75DA4E07"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Kapitalinõuete direktiivi artikli 94 lõike 1 punktis h osutatud selliste ülesütlemishüvitiste summa, mis on määratud ja makstud välja asjaomasel majandusaastal.</w:t>
            </w:r>
          </w:p>
        </w:tc>
      </w:tr>
      <w:tr w:rsidR="00965CEB" w:rsidRPr="007F4CC8" w14:paraId="718151E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88AE7D7" w14:textId="77777777" w:rsidR="00965CEB" w:rsidRPr="007F4CC8" w:rsidRDefault="00965CEB" w:rsidP="004F3087">
            <w:pPr>
              <w:pStyle w:val="Applicationdirecte"/>
              <w:spacing w:before="0" w:after="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33ED23FC"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Millest: asjaomasel majandusaastal määratud ülesütlemishüvitised – edasilükatud</w:t>
            </w:r>
          </w:p>
          <w:p w14:paraId="2B8A3E35"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Kapitalinõuete direktiivi artikli 94 lõike 1 punktis h osutatud selliste edasilükatud ülesütlemishüvitiste summa, mis on määratud asjaomasel majandusaastal ja määratud kindlaks vastavalt kapitalinõuete direktiivi artiklile 94.</w:t>
            </w:r>
          </w:p>
        </w:tc>
      </w:tr>
      <w:tr w:rsidR="00965CEB" w:rsidRPr="007F4CC8" w14:paraId="3FA2D86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093075F9" w14:textId="77777777" w:rsidR="00965CEB" w:rsidRPr="007F4CC8" w:rsidRDefault="00965CEB" w:rsidP="004F3087">
            <w:pPr>
              <w:pStyle w:val="Applicationdirecte"/>
              <w:spacing w:before="0" w:after="0"/>
              <w:jc w:val="center"/>
            </w:pPr>
            <w:r>
              <w:t>10</w:t>
            </w:r>
          </w:p>
        </w:tc>
        <w:tc>
          <w:tcPr>
            <w:tcW w:w="7655" w:type="dxa"/>
            <w:tcBorders>
              <w:top w:val="single" w:sz="4" w:space="0" w:color="auto"/>
              <w:left w:val="single" w:sz="4" w:space="0" w:color="auto"/>
              <w:bottom w:val="single" w:sz="4" w:space="0" w:color="auto"/>
              <w:right w:val="single" w:sz="4" w:space="0" w:color="auto"/>
            </w:tcBorders>
            <w:vAlign w:val="center"/>
          </w:tcPr>
          <w:p w14:paraId="232A7D98"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Millest: asjaomasel majandusaastal makstud ülesütlemishüvitised, mida ei võeta arvesse preemiate ülempiiris</w:t>
            </w:r>
          </w:p>
          <w:p w14:paraId="3020E32C"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Asjaomasel majandusaastal makstud kapitalinõuete direktiivi artikli 94 lõike 1 punkti h kohaste ülesütlemishüvitiste summad, mida ei võeta arvesse preemiate ülempiiris.</w:t>
            </w:r>
          </w:p>
          <w:p w14:paraId="78B7D63D"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Kapitalinõuete määruse artikli 450 lõike 1 punktis g ja punkti h alapunktides v–vi osutatud avalikustatava teabe puhul märgivad finantsinstitutsioonid selgelt, kas kvantitatiivne koondteave tasustamise kohta ärivaldkondade lõikes kajastab preemiate ülempiiri, kui tegemist on uute tööleasumistasude ja ülesütlemishüvitistega.</w:t>
            </w:r>
          </w:p>
        </w:tc>
      </w:tr>
      <w:tr w:rsidR="00965CEB" w:rsidRPr="007F4CC8" w14:paraId="648B440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5548CCE" w14:textId="77777777" w:rsidR="00965CEB" w:rsidRPr="007F4CC8" w:rsidRDefault="00965CEB" w:rsidP="004F3087">
            <w:pPr>
              <w:pStyle w:val="Applicationdirecte"/>
              <w:spacing w:before="0" w:after="0"/>
              <w:jc w:val="center"/>
            </w:pPr>
            <w:r>
              <w:t>11</w:t>
            </w:r>
          </w:p>
        </w:tc>
        <w:tc>
          <w:tcPr>
            <w:tcW w:w="7655" w:type="dxa"/>
            <w:tcBorders>
              <w:top w:val="single" w:sz="4" w:space="0" w:color="auto"/>
              <w:left w:val="single" w:sz="4" w:space="0" w:color="auto"/>
              <w:bottom w:val="single" w:sz="4" w:space="0" w:color="auto"/>
              <w:right w:val="single" w:sz="4" w:space="0" w:color="auto"/>
            </w:tcBorders>
            <w:vAlign w:val="center"/>
          </w:tcPr>
          <w:p w14:paraId="77AAAD2C"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Millest: asjaomasel majandusaastal määratud ülesütlemishüvitised – suurim ühele isikule määratud hüvitis</w:t>
            </w:r>
          </w:p>
          <w:p w14:paraId="69C2783A"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Kapitalinõuete direktiivi artikli 94 lõike 1 punktis h osutatud suurim ülesütlemishüvitis, mis on asjaomasel majandusaastal ühele inimesele määratud.</w:t>
            </w:r>
          </w:p>
        </w:tc>
      </w:tr>
      <w:tr w:rsidR="00965CEB" w:rsidRPr="007F4CC8" w14:paraId="63F86BC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BD9D27" w14:textId="77777777" w:rsidR="00965CEB" w:rsidRPr="007F4CC8" w:rsidRDefault="00965CEB" w:rsidP="004F3087">
            <w:pPr>
              <w:pStyle w:val="TableMainHeading"/>
              <w:spacing w:before="60"/>
              <w:jc w:val="center"/>
              <w:rPr>
                <w:rFonts w:ascii="Times New Roman" w:hAnsi="Times New Roman"/>
                <w:b/>
                <w:sz w:val="24"/>
                <w:szCs w:val="24"/>
              </w:rPr>
            </w:pPr>
            <w:r>
              <w:rPr>
                <w:rFonts w:ascii="Times New Roman" w:hAnsi="Times New Roman"/>
                <w:b/>
                <w:sz w:val="24"/>
              </w:rPr>
              <w:t>Veeru täht</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42CE7C" w14:textId="77777777" w:rsidR="00965CEB" w:rsidRPr="007F4CC8" w:rsidRDefault="00965CEB" w:rsidP="004F3087">
            <w:pPr>
              <w:pStyle w:val="TableMainHeading"/>
              <w:spacing w:before="60"/>
              <w:jc w:val="both"/>
              <w:rPr>
                <w:rFonts w:ascii="Times New Roman" w:hAnsi="Times New Roman"/>
                <w:b/>
                <w:sz w:val="24"/>
                <w:szCs w:val="24"/>
              </w:rPr>
            </w:pPr>
            <w:r>
              <w:rPr>
                <w:rFonts w:ascii="Times New Roman" w:hAnsi="Times New Roman"/>
                <w:b/>
                <w:sz w:val="24"/>
              </w:rPr>
              <w:t>Selgitus</w:t>
            </w:r>
          </w:p>
        </w:tc>
      </w:tr>
      <w:tr w:rsidR="00965CEB" w:rsidRPr="007F4CC8" w14:paraId="6E4921E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C4B672A" w14:textId="77777777" w:rsidR="00965CEB" w:rsidRPr="007F4CC8" w:rsidRDefault="00965CEB" w:rsidP="004F3087">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3C1A71B" w14:textId="77777777" w:rsidR="00965CEB" w:rsidRPr="009D2F9B"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Juhtorgani järelevalvefunktsioon</w:t>
            </w:r>
          </w:p>
          <w:p w14:paraId="3734590D" w14:textId="77777777" w:rsidR="00965CEB" w:rsidRPr="007F4CC8" w:rsidRDefault="00965CEB" w:rsidP="004F3087">
            <w:pPr>
              <w:spacing w:after="120"/>
              <w:jc w:val="both"/>
              <w:rPr>
                <w:rFonts w:ascii="Times New Roman" w:hAnsi="Times New Roman" w:cs="Times New Roman"/>
                <w:color w:val="000000"/>
                <w:sz w:val="24"/>
              </w:rPr>
            </w:pPr>
            <w:r>
              <w:rPr>
                <w:rFonts w:ascii="Times New Roman" w:hAnsi="Times New Roman"/>
                <w:sz w:val="24"/>
              </w:rPr>
              <w:t>Järelevalvefunktsiooni täitev juhtorgan kui juhtorgan, mis tegutseb oma rollis juhtkonna otsuste tegemise jälgija ja kontrollijana, nagu määratletud kapitalinõuete direktiivi artikli 3 lõike 1 punktis 8 (töötajate arv).</w:t>
            </w:r>
          </w:p>
        </w:tc>
      </w:tr>
      <w:tr w:rsidR="00965CEB" w:rsidRPr="007F4CC8" w14:paraId="1FF4442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6A7C257" w14:textId="77777777" w:rsidR="00965CEB" w:rsidRPr="007F4CC8" w:rsidRDefault="00965CEB" w:rsidP="004F3087">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CD74876" w14:textId="77777777" w:rsidR="00965CEB" w:rsidRPr="009D2F9B"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Juhtorgani juhtimisfunktsioon</w:t>
            </w:r>
          </w:p>
          <w:p w14:paraId="1A03D44D" w14:textId="77777777" w:rsidR="00965CEB" w:rsidRPr="007F4CC8" w:rsidRDefault="00965CEB" w:rsidP="004F3087">
            <w:pPr>
              <w:spacing w:after="120"/>
              <w:jc w:val="both"/>
              <w:rPr>
                <w:rFonts w:ascii="Times New Roman" w:hAnsi="Times New Roman" w:cs="Times New Roman"/>
                <w:color w:val="000000"/>
                <w:sz w:val="24"/>
              </w:rPr>
            </w:pPr>
            <w:r>
              <w:rPr>
                <w:rFonts w:ascii="Times New Roman" w:hAnsi="Times New Roman"/>
                <w:sz w:val="24"/>
              </w:rPr>
              <w:t>Juhtorgani liikmed, kes vastutavad selle juhtimisfunktsioonide eest (töötajate arv).</w:t>
            </w:r>
          </w:p>
        </w:tc>
      </w:tr>
      <w:tr w:rsidR="00965CEB" w:rsidRPr="007F4CC8" w14:paraId="1E5ED2F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E725CA" w14:textId="77777777" w:rsidR="00965CEB" w:rsidRPr="007F4CC8" w:rsidRDefault="00965CEB" w:rsidP="004F3087">
            <w:pPr>
              <w:pStyle w:val="Applicationdirecte"/>
              <w:spacing w:before="0" w:after="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6A1BB3B" w14:textId="77777777" w:rsidR="00965CEB" w:rsidRPr="009D2F9B"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Muu kõrgem juhtkond</w:t>
            </w:r>
          </w:p>
          <w:p w14:paraId="1598A23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Kõrgem juhtkond, nagu määratletud kapitalinõuete direktiivi artikli 3 lõike 1 punktis 9.</w:t>
            </w:r>
          </w:p>
          <w:p w14:paraId="1B942BBE"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Finantsinstitutsioonid avalikustavad oma selliste kõrgema juhtkonna liikmete arvu, keda pole märgitud juhtimisfunktsiooni täitva juhtorgani liikmetena ega muude kindlaksmääratud töötajatena (täistööajale taandatud töötajate arv).</w:t>
            </w:r>
          </w:p>
        </w:tc>
      </w:tr>
      <w:tr w:rsidR="00965CEB" w:rsidRPr="007F4CC8" w14:paraId="31827D2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D1323D" w14:textId="77777777" w:rsidR="00965CEB" w:rsidRPr="007F4CC8" w:rsidRDefault="00965CEB" w:rsidP="004F3087">
            <w:pPr>
              <w:pStyle w:val="Applicationdirecte"/>
              <w:spacing w:before="0" w:after="0"/>
              <w:jc w:val="center"/>
            </w:pPr>
            <w:r>
              <w:lastRenderedPageBreak/>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12813171"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Muud kindlaksmääratud töötajad</w:t>
            </w:r>
          </w:p>
          <w:p w14:paraId="01528962"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Muud töötajad, kes ei ole järelevalve- või juhtimisfunktsiooni täitva juhtorgani töötajad ega kõrgema juhtkonna liikmed, aga kelle ametialane tegevus mõjutab oluliselt finantsinstitutsiooni riskiprofiili kooskõlas kriteeriumidega, mis on sätestatud kindlaksmääratud töötajaid käsitlevas komisjoni delegeeritud määruses, millega rakendatakse kapitalinõuete direktiivi artikli 94 lõiget 2, ja vajaduse korral ka kooskõlas finantsinstitutsiooni kriteeriumidega.</w:t>
            </w:r>
          </w:p>
          <w:p w14:paraId="566D1319" w14:textId="77777777" w:rsidR="00965CEB" w:rsidRPr="007F4CC8" w:rsidRDefault="00965CEB" w:rsidP="004F3087">
            <w:pPr>
              <w:spacing w:after="120"/>
              <w:jc w:val="both"/>
              <w:rPr>
                <w:rFonts w:ascii="Times New Roman" w:hAnsi="Times New Roman" w:cs="Times New Roman"/>
                <w:color w:val="000000"/>
                <w:sz w:val="24"/>
              </w:rPr>
            </w:pPr>
            <w:r>
              <w:rPr>
                <w:rFonts w:ascii="Times New Roman" w:hAnsi="Times New Roman"/>
                <w:sz w:val="24"/>
              </w:rPr>
              <w:t>Finantsinstitutsioonid võivad sellesse vormi lisada vormil EU REM5 pakutud jaotuse ärivaldkondade kaupa (täistööajale taandatud töötajate arv).</w:t>
            </w:r>
          </w:p>
        </w:tc>
      </w:tr>
    </w:tbl>
    <w:p w14:paraId="760802A7" w14:textId="77777777" w:rsidR="00965CEB" w:rsidRPr="007F4CC8" w:rsidRDefault="00965CEB" w:rsidP="00965CEB">
      <w:pPr>
        <w:rPr>
          <w:rFonts w:ascii="Times New Roman" w:eastAsia="Times New Roman" w:hAnsi="Times New Roman" w:cs="Times New Roman"/>
          <w:sz w:val="24"/>
          <w:highlight w:val="yellow"/>
        </w:rPr>
      </w:pPr>
    </w:p>
    <w:p w14:paraId="2C5AB76E" w14:textId="77777777" w:rsidR="00965CEB" w:rsidRPr="007F4CC8" w:rsidRDefault="00965CEB" w:rsidP="00965CEB">
      <w:pPr>
        <w:pStyle w:val="Titlelevel2"/>
        <w:spacing w:before="120" w:after="120"/>
        <w:rPr>
          <w:rFonts w:ascii="Times New Roman" w:hAnsi="Times New Roman" w:cs="Times New Roman"/>
          <w:b/>
          <w:color w:val="auto"/>
          <w:sz w:val="24"/>
        </w:rPr>
      </w:pPr>
      <w:r>
        <w:rPr>
          <w:rFonts w:ascii="Times New Roman" w:hAnsi="Times New Roman"/>
          <w:b/>
          <w:color w:val="auto"/>
          <w:sz w:val="24"/>
        </w:rPr>
        <w:t xml:space="preserve">Vorm EU REM3. Edasilükatud töötasu. </w:t>
      </w:r>
      <w:r>
        <w:rPr>
          <w:rFonts w:ascii="Times New Roman" w:hAnsi="Times New Roman"/>
          <w:color w:val="auto"/>
          <w:sz w:val="24"/>
        </w:rPr>
        <w:t>Muutumatu vorming</w:t>
      </w:r>
    </w:p>
    <w:p w14:paraId="2F3BCD0E"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Finantsinstitutsioonid avalikustavad kapitalinõuete määruse artikli 450 lõike 1 punkti h alapunktides iii–iv osutatud teabe, järgides käesolevas lisas allpool esitatud juhiseid, et täita käesoleva rakendusmääruse XXXIII lisas esitatud vorm EU REM3.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5525284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36609D" w14:textId="77777777" w:rsidR="00965CEB" w:rsidRPr="007F4CC8" w:rsidRDefault="00965CEB" w:rsidP="004F3087">
            <w:pPr>
              <w:rPr>
                <w:rFonts w:ascii="Times New Roman" w:hAnsi="Times New Roman" w:cs="Times New Roman"/>
                <w:b/>
                <w:sz w:val="24"/>
              </w:rPr>
            </w:pPr>
            <w:r>
              <w:rPr>
                <w:rFonts w:ascii="Times New Roman" w:hAnsi="Times New Roman"/>
                <w:b/>
                <w:sz w:val="24"/>
              </w:rPr>
              <w:t>Viited õigussätetele ja juhised</w:t>
            </w:r>
          </w:p>
        </w:tc>
      </w:tr>
      <w:tr w:rsidR="00965CEB" w:rsidRPr="007F4CC8" w14:paraId="596FBD77" w14:textId="77777777" w:rsidTr="004F3087">
        <w:trPr>
          <w:trHeight w:val="238"/>
        </w:trPr>
        <w:tc>
          <w:tcPr>
            <w:tcW w:w="1384" w:type="dxa"/>
            <w:shd w:val="clear" w:color="auto" w:fill="D9D9D9" w:themeFill="background1" w:themeFillShade="D9"/>
          </w:tcPr>
          <w:p w14:paraId="0D87CD78"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2DE2309D"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965CEB" w:rsidRPr="007F4CC8" w14:paraId="600F239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EC4748B" w14:textId="77777777" w:rsidR="00965CEB" w:rsidRPr="007F4CC8" w:rsidRDefault="00965CEB" w:rsidP="004F3087">
            <w:pPr>
              <w:pStyle w:val="Applicationdirecte"/>
              <w:spacing w:before="0" w:after="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41B7CB11" w14:textId="77777777" w:rsidR="00965CEB" w:rsidRPr="009D2F9B"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Juhtorgani järelevalvefunktsioon</w:t>
            </w:r>
          </w:p>
          <w:p w14:paraId="42F62B75"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Järelevalvefunktsiooni täitev juhtorgan kui juhtorgan, mis tegutseb oma rollis juhtkonna otsuste tegemise jälgija ja kontrollijana, nagu määratletud kapitalinõuete direktiivi artikli 3 lõike 1 punktis 8.</w:t>
            </w:r>
          </w:p>
          <w:p w14:paraId="78EE1100"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Vormi ridadel 2, 3, 4, 5 ja 6 esitatud summade kogusumma.</w:t>
            </w:r>
          </w:p>
        </w:tc>
      </w:tr>
      <w:tr w:rsidR="00965CEB" w:rsidRPr="007F4CC8" w14:paraId="7B48C31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FD60631" w14:textId="77777777" w:rsidR="00965CEB" w:rsidRPr="007F4CC8" w:rsidRDefault="00965CEB" w:rsidP="004F3087">
            <w:pPr>
              <w:pStyle w:val="Applicationdirecte"/>
              <w:spacing w:before="0" w:after="0"/>
              <w:jc w:val="center"/>
            </w:pPr>
            <w:r>
              <w:t>2, 8, 14 ja 20</w:t>
            </w:r>
          </w:p>
        </w:tc>
        <w:tc>
          <w:tcPr>
            <w:tcW w:w="7655" w:type="dxa"/>
            <w:tcBorders>
              <w:top w:val="single" w:sz="4" w:space="0" w:color="auto"/>
              <w:left w:val="single" w:sz="4" w:space="0" w:color="auto"/>
              <w:bottom w:val="single" w:sz="4" w:space="0" w:color="auto"/>
              <w:right w:val="single" w:sz="4" w:space="0" w:color="auto"/>
            </w:tcBorders>
            <w:vAlign w:val="center"/>
          </w:tcPr>
          <w:p w14:paraId="10B85C92" w14:textId="77777777" w:rsidR="00965CEB" w:rsidRPr="009D2F9B" w:rsidRDefault="00965CEB" w:rsidP="004F3087">
            <w:pPr>
              <w:spacing w:before="60" w:after="120"/>
              <w:jc w:val="both"/>
              <w:rPr>
                <w:rFonts w:ascii="Times New Roman" w:hAnsi="Times New Roman"/>
                <w:b/>
                <w:sz w:val="24"/>
              </w:rPr>
            </w:pPr>
            <w:r>
              <w:rPr>
                <w:rFonts w:ascii="Times New Roman" w:hAnsi="Times New Roman"/>
                <w:b/>
                <w:sz w:val="24"/>
              </w:rPr>
              <w:t>Rahapõhine</w:t>
            </w:r>
          </w:p>
          <w:p w14:paraId="0BC40D8E"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Rahapõhise tasu summa muutuvtasus.</w:t>
            </w:r>
          </w:p>
        </w:tc>
      </w:tr>
      <w:tr w:rsidR="00965CEB" w:rsidRPr="007F4CC8" w14:paraId="33B142D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172617E" w14:textId="77777777" w:rsidR="00965CEB" w:rsidRPr="007F4CC8" w:rsidRDefault="00965CEB" w:rsidP="004F3087">
            <w:pPr>
              <w:pStyle w:val="Applicationdirecte"/>
              <w:spacing w:before="0" w:after="0"/>
              <w:jc w:val="center"/>
            </w:pPr>
            <w:r>
              <w:t>3, 9, 15 ja 21</w:t>
            </w:r>
          </w:p>
        </w:tc>
        <w:tc>
          <w:tcPr>
            <w:tcW w:w="7655" w:type="dxa"/>
            <w:tcBorders>
              <w:top w:val="single" w:sz="4" w:space="0" w:color="auto"/>
              <w:left w:val="single" w:sz="4" w:space="0" w:color="auto"/>
              <w:bottom w:val="single" w:sz="4" w:space="0" w:color="auto"/>
              <w:right w:val="single" w:sz="4" w:space="0" w:color="auto"/>
            </w:tcBorders>
            <w:vAlign w:val="center"/>
          </w:tcPr>
          <w:p w14:paraId="0C12E18A" w14:textId="2E2F55C3" w:rsidR="00965CEB" w:rsidRPr="009D2F9B" w:rsidRDefault="00965CEB" w:rsidP="004F3087">
            <w:pPr>
              <w:autoSpaceDE w:val="0"/>
              <w:autoSpaceDN w:val="0"/>
              <w:adjustRightInd w:val="0"/>
              <w:spacing w:after="120"/>
              <w:rPr>
                <w:rFonts w:ascii="Times New Roman" w:hAnsi="Times New Roman"/>
                <w:b/>
                <w:sz w:val="24"/>
              </w:rPr>
            </w:pPr>
            <w:r>
              <w:rPr>
                <w:rFonts w:ascii="Times New Roman" w:hAnsi="Times New Roman"/>
                <w:b/>
                <w:sz w:val="24"/>
              </w:rPr>
              <w:t>Aktsiad ja osad või samaväärsed osalused</w:t>
            </w:r>
          </w:p>
          <w:p w14:paraId="4B63188A" w14:textId="77777777" w:rsidR="00965CEB" w:rsidRPr="007F4CC8" w:rsidRDefault="00965CEB" w:rsidP="004F3087">
            <w:pPr>
              <w:spacing w:before="60" w:after="120"/>
              <w:jc w:val="both"/>
              <w:rPr>
                <w:rFonts w:ascii="Times New Roman" w:hAnsi="Times New Roman"/>
                <w:b/>
                <w:sz w:val="24"/>
              </w:rPr>
            </w:pPr>
            <w:r>
              <w:rPr>
                <w:rFonts w:ascii="Times New Roman" w:hAnsi="Times New Roman"/>
                <w:sz w:val="24"/>
              </w:rPr>
              <w:t>Kapitalinõuete direktiivi artikli 94 lõike 1 punkti l alapunktis i osutatud asjaomase finantsinstitutsiooni õiguslikust vormist sõltuvate aktsiate ja osade või samaväärsete osaluste summade kogusumma muutuvtasus.</w:t>
            </w:r>
          </w:p>
        </w:tc>
      </w:tr>
      <w:tr w:rsidR="00965CEB" w:rsidRPr="007F4CC8" w14:paraId="7446B00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25D4037" w14:textId="77777777" w:rsidR="00965CEB" w:rsidRPr="007F4CC8" w:rsidRDefault="00965CEB" w:rsidP="004F3087">
            <w:pPr>
              <w:pStyle w:val="Applicationdirecte"/>
              <w:spacing w:before="0" w:after="0"/>
              <w:jc w:val="center"/>
            </w:pPr>
            <w:r>
              <w:t>4, 10, 16 ja 22</w:t>
            </w:r>
          </w:p>
        </w:tc>
        <w:tc>
          <w:tcPr>
            <w:tcW w:w="7655" w:type="dxa"/>
            <w:tcBorders>
              <w:top w:val="single" w:sz="4" w:space="0" w:color="auto"/>
              <w:left w:val="single" w:sz="4" w:space="0" w:color="auto"/>
              <w:bottom w:val="single" w:sz="4" w:space="0" w:color="auto"/>
              <w:right w:val="single" w:sz="4" w:space="0" w:color="auto"/>
            </w:tcBorders>
            <w:vAlign w:val="center"/>
          </w:tcPr>
          <w:p w14:paraId="3E755439" w14:textId="68F9F554" w:rsidR="00965CEB" w:rsidRPr="00E94B0F" w:rsidRDefault="00965CEB" w:rsidP="004F3087">
            <w:pPr>
              <w:autoSpaceDE w:val="0"/>
              <w:autoSpaceDN w:val="0"/>
              <w:adjustRightInd w:val="0"/>
              <w:spacing w:after="120"/>
              <w:rPr>
                <w:rFonts w:ascii="Times New Roman" w:hAnsi="Times New Roman"/>
                <w:b/>
                <w:sz w:val="24"/>
              </w:rPr>
            </w:pPr>
            <w:r>
              <w:rPr>
                <w:rFonts w:ascii="Times New Roman" w:hAnsi="Times New Roman"/>
                <w:b/>
                <w:sz w:val="24"/>
              </w:rPr>
              <w:t>Aktsiate ja osadega seotud instrumendid või samaväärsed mitterahalised instrumendid</w:t>
            </w:r>
          </w:p>
          <w:p w14:paraId="362CEB2B" w14:textId="7777777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Kapitalinõuete direktiivi artikli 94 lõike 1 punkti l alapunktis i osutatud aktsiate ja osadega seotud instrumentide või samaväärsete mitterahaliste instrumentide summade kogusumma muutuvtasus.</w:t>
            </w:r>
          </w:p>
        </w:tc>
      </w:tr>
      <w:tr w:rsidR="00965CEB" w:rsidRPr="007F4CC8" w14:paraId="00D9345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6DAF8F8" w14:textId="77777777" w:rsidR="00965CEB" w:rsidRPr="007F4CC8" w:rsidRDefault="00965CEB" w:rsidP="004F3087">
            <w:pPr>
              <w:pStyle w:val="Applicationdirecte"/>
              <w:spacing w:before="0" w:after="0"/>
              <w:jc w:val="center"/>
            </w:pPr>
            <w:r>
              <w:t>5, 11, 17 ja 23</w:t>
            </w:r>
          </w:p>
        </w:tc>
        <w:tc>
          <w:tcPr>
            <w:tcW w:w="7655" w:type="dxa"/>
            <w:tcBorders>
              <w:top w:val="single" w:sz="4" w:space="0" w:color="auto"/>
              <w:left w:val="single" w:sz="4" w:space="0" w:color="auto"/>
              <w:bottom w:val="single" w:sz="4" w:space="0" w:color="auto"/>
              <w:right w:val="single" w:sz="4" w:space="0" w:color="auto"/>
            </w:tcBorders>
            <w:vAlign w:val="center"/>
          </w:tcPr>
          <w:p w14:paraId="298E1D6F" w14:textId="77777777" w:rsidR="00965CEB" w:rsidRPr="00E94B0F" w:rsidRDefault="00965CEB" w:rsidP="004F3087">
            <w:pPr>
              <w:spacing w:before="60" w:after="120"/>
              <w:jc w:val="both"/>
              <w:rPr>
                <w:rFonts w:ascii="Times New Roman" w:hAnsi="Times New Roman"/>
                <w:b/>
                <w:sz w:val="24"/>
              </w:rPr>
            </w:pPr>
            <w:r>
              <w:rPr>
                <w:rFonts w:ascii="Times New Roman" w:hAnsi="Times New Roman"/>
                <w:b/>
                <w:sz w:val="24"/>
              </w:rPr>
              <w:t>Muud instrumendid</w:t>
            </w:r>
          </w:p>
          <w:p w14:paraId="4C0BEEE9"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Kapitalinõuete direktiivi artikli 94 lõike 1 punkti l alapunktis ii osutatud muude instrumentide summa muutuvtasus.</w:t>
            </w:r>
          </w:p>
        </w:tc>
      </w:tr>
      <w:tr w:rsidR="00965CEB" w:rsidRPr="007F4CC8" w14:paraId="582939B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7B9C353" w14:textId="77777777" w:rsidR="00965CEB" w:rsidRPr="007F4CC8" w:rsidRDefault="00965CEB" w:rsidP="004F3087">
            <w:pPr>
              <w:pStyle w:val="Applicationdirecte"/>
              <w:spacing w:before="0" w:after="0"/>
              <w:jc w:val="center"/>
            </w:pPr>
            <w:r>
              <w:t>6, 12, 18 ja 24</w:t>
            </w:r>
          </w:p>
        </w:tc>
        <w:tc>
          <w:tcPr>
            <w:tcW w:w="7655" w:type="dxa"/>
            <w:tcBorders>
              <w:top w:val="single" w:sz="4" w:space="0" w:color="auto"/>
              <w:left w:val="single" w:sz="4" w:space="0" w:color="auto"/>
              <w:bottom w:val="single" w:sz="4" w:space="0" w:color="auto"/>
              <w:right w:val="single" w:sz="4" w:space="0" w:color="auto"/>
            </w:tcBorders>
            <w:vAlign w:val="center"/>
          </w:tcPr>
          <w:p w14:paraId="1C871934" w14:textId="77777777" w:rsidR="00965CEB" w:rsidRPr="00E94B0F" w:rsidRDefault="00965CEB" w:rsidP="004F3087">
            <w:pPr>
              <w:autoSpaceDE w:val="0"/>
              <w:autoSpaceDN w:val="0"/>
              <w:adjustRightInd w:val="0"/>
              <w:spacing w:after="120"/>
              <w:rPr>
                <w:rFonts w:ascii="Times New Roman" w:hAnsi="Times New Roman"/>
                <w:b/>
                <w:sz w:val="24"/>
              </w:rPr>
            </w:pPr>
            <w:r>
              <w:rPr>
                <w:rFonts w:ascii="Times New Roman" w:hAnsi="Times New Roman"/>
                <w:b/>
                <w:sz w:val="24"/>
              </w:rPr>
              <w:t>Muud vormid</w:t>
            </w:r>
          </w:p>
          <w:p w14:paraId="05DE9AE7"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 xml:space="preserve">Muutuvtasu summad, mida ei ole avalikustatud ridadel „Rahapõhine“, „Asjaomase finantsinstitutsiooni õiguslikust vormist sõltuvad aktsiad ja osad </w:t>
            </w:r>
            <w:r>
              <w:rPr>
                <w:rFonts w:ascii="Times New Roman" w:hAnsi="Times New Roman"/>
                <w:sz w:val="24"/>
              </w:rPr>
              <w:lastRenderedPageBreak/>
              <w:t>või samaväärsed osalused“ või „Aktsiate ja osadega seotud instrumendid või samaväärsed mitterahalised instrumendid“ ja „Muud instrumendid“.</w:t>
            </w:r>
          </w:p>
          <w:p w14:paraId="47E931D3"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See võib hõlmata kapitalinõuete direktiivi põhjenduses 64 osutatud proportsionaalseid regulaarseid pensionimakseid või hüvitisi (kui selliste hüvitiste puhul ei võeta arvesse tulemuskriteeriume) või muid tasuvorme, nagu autotoetused.</w:t>
            </w:r>
          </w:p>
        </w:tc>
      </w:tr>
      <w:tr w:rsidR="00965CEB" w:rsidRPr="007F4CC8" w14:paraId="1E2113D9"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409708C7" w14:textId="77777777" w:rsidR="00965CEB" w:rsidRPr="007F4CC8" w:rsidRDefault="00965CEB" w:rsidP="004F3087">
            <w:pPr>
              <w:pStyle w:val="Applicationdirecte"/>
              <w:spacing w:before="0" w:after="0"/>
              <w:jc w:val="center"/>
            </w:pPr>
            <w:r>
              <w:lastRenderedPageBreak/>
              <w:t>7</w:t>
            </w:r>
          </w:p>
        </w:tc>
        <w:tc>
          <w:tcPr>
            <w:tcW w:w="7655" w:type="dxa"/>
            <w:tcBorders>
              <w:top w:val="single" w:sz="4" w:space="0" w:color="auto"/>
              <w:left w:val="single" w:sz="4" w:space="0" w:color="auto"/>
              <w:bottom w:val="single" w:sz="4" w:space="0" w:color="auto"/>
              <w:right w:val="single" w:sz="4" w:space="0" w:color="auto"/>
            </w:tcBorders>
            <w:vAlign w:val="center"/>
          </w:tcPr>
          <w:p w14:paraId="7D388D16" w14:textId="5845800A" w:rsidR="00965CEB" w:rsidRPr="00E94B0F"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Juhtorgani juhtimisfunktsioon</w:t>
            </w:r>
          </w:p>
          <w:p w14:paraId="7D897A2D"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Juhtorgani liikmed, kes vastutavad selle juhtimisfunktsioonide eest; vormi ridadel 8, 9, 10, 11 ja 12 esitatud summade kogusumma.</w:t>
            </w:r>
          </w:p>
        </w:tc>
      </w:tr>
      <w:tr w:rsidR="00965CEB" w:rsidRPr="007F4CC8" w14:paraId="6BB9DE7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6033D47" w14:textId="77777777" w:rsidR="00965CEB" w:rsidRPr="007F4CC8" w:rsidRDefault="00965CEB" w:rsidP="004F3087">
            <w:pPr>
              <w:pStyle w:val="Applicationdirecte"/>
              <w:spacing w:before="0" w:after="0"/>
              <w:jc w:val="center"/>
            </w:pPr>
            <w:r>
              <w:t>13</w:t>
            </w:r>
          </w:p>
        </w:tc>
        <w:tc>
          <w:tcPr>
            <w:tcW w:w="7655" w:type="dxa"/>
            <w:tcBorders>
              <w:top w:val="single" w:sz="4" w:space="0" w:color="auto"/>
              <w:left w:val="single" w:sz="4" w:space="0" w:color="auto"/>
              <w:bottom w:val="single" w:sz="4" w:space="0" w:color="auto"/>
              <w:right w:val="single" w:sz="4" w:space="0" w:color="auto"/>
            </w:tcBorders>
            <w:vAlign w:val="center"/>
          </w:tcPr>
          <w:p w14:paraId="7552B7A3" w14:textId="77777777" w:rsidR="00965CEB" w:rsidRPr="00E94B0F"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Muu kõrgem juhtkond</w:t>
            </w:r>
          </w:p>
          <w:p w14:paraId="015BE952"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Kõrgem juhtkond, nagu määratletud kapitalinõuete direktiivi artikli 3 lõike 1 punktis 9; vormi ridadel 14, 15, 16, 17 ja 18 esitatud summade kogusumma.</w:t>
            </w:r>
          </w:p>
          <w:p w14:paraId="3E12A111"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Finantsinstitutsioonid avalikustavad oma selliste kõrgema juhtkonna liikmete arvu, keda pole märgitud juhtimisfunktsiooni täitva juhtorgani liikmetena ega muude kindlaksmääratud töötajatena.</w:t>
            </w:r>
          </w:p>
        </w:tc>
      </w:tr>
      <w:tr w:rsidR="00965CEB" w:rsidRPr="007F4CC8" w14:paraId="60C2B24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497957A" w14:textId="77777777" w:rsidR="00965CEB" w:rsidRPr="007F4CC8" w:rsidRDefault="00965CEB" w:rsidP="004F3087">
            <w:pPr>
              <w:pStyle w:val="Applicationdirecte"/>
              <w:spacing w:before="0" w:after="0"/>
              <w:jc w:val="center"/>
            </w:pPr>
            <w:r>
              <w:t>19</w:t>
            </w:r>
          </w:p>
        </w:tc>
        <w:tc>
          <w:tcPr>
            <w:tcW w:w="7655" w:type="dxa"/>
            <w:tcBorders>
              <w:top w:val="single" w:sz="4" w:space="0" w:color="auto"/>
              <w:left w:val="single" w:sz="4" w:space="0" w:color="auto"/>
              <w:bottom w:val="single" w:sz="4" w:space="0" w:color="auto"/>
              <w:right w:val="single" w:sz="4" w:space="0" w:color="auto"/>
            </w:tcBorders>
            <w:vAlign w:val="center"/>
          </w:tcPr>
          <w:p w14:paraId="564E500C" w14:textId="77777777" w:rsidR="00965CEB" w:rsidRPr="00E94B0F" w:rsidRDefault="00965CEB" w:rsidP="004F3087">
            <w:pPr>
              <w:spacing w:before="60" w:after="120"/>
              <w:jc w:val="both"/>
              <w:rPr>
                <w:rFonts w:ascii="Times New Roman" w:hAnsi="Times New Roman"/>
                <w:b/>
                <w:sz w:val="24"/>
              </w:rPr>
            </w:pPr>
            <w:r>
              <w:rPr>
                <w:rFonts w:ascii="Times New Roman" w:hAnsi="Times New Roman"/>
                <w:b/>
                <w:sz w:val="24"/>
              </w:rPr>
              <w:t>Muud kindlaksmääratud töötajad</w:t>
            </w:r>
          </w:p>
          <w:p w14:paraId="1561B753" w14:textId="77777777" w:rsidR="00965CEB" w:rsidRPr="007F4CC8" w:rsidRDefault="00965CEB" w:rsidP="004F3087">
            <w:pPr>
              <w:spacing w:before="60" w:after="120"/>
              <w:jc w:val="both"/>
              <w:rPr>
                <w:rFonts w:ascii="Times New Roman" w:hAnsi="Times New Roman"/>
                <w:sz w:val="24"/>
              </w:rPr>
            </w:pPr>
            <w:r>
              <w:rPr>
                <w:rFonts w:ascii="Times New Roman" w:hAnsi="Times New Roman"/>
                <w:sz w:val="24"/>
              </w:rPr>
              <w:t>Muud töötajad, kes ei ole järelevalve- või juhtimisfunktsiooni täitva juhtorgani töötajad ega kõrgema juhtkonna liikmed, aga kelle ametialane tegevus mõjutab oluliselt finantsinstitutsiooni riskiprofiili kooskõlas kriteeriumidega, mis on sätestatud kindlaksmääratud töötajaid käsitlevas komisjoni delegeeritud määruses, millega rakendatakse kapitalinõuete direktiivi artikli 94 lõiget 2, ja vajaduse korral ka kooskõlas finantsinstitutsiooni kriteeriumidega; vormi ridadel 20, 21, 22, 23 ja 24 esitatud summade kogusumma.</w:t>
            </w:r>
          </w:p>
        </w:tc>
      </w:tr>
      <w:tr w:rsidR="00965CEB" w:rsidRPr="007F4CC8" w14:paraId="724701D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283D7647" w14:textId="77777777" w:rsidR="00965CEB" w:rsidRPr="007F4CC8" w:rsidRDefault="00965CEB" w:rsidP="004F3087">
            <w:pPr>
              <w:pStyle w:val="Applicationdirecte"/>
              <w:spacing w:before="0" w:after="0"/>
              <w:jc w:val="center"/>
            </w:pPr>
            <w:r>
              <w:t>25</w:t>
            </w:r>
          </w:p>
        </w:tc>
        <w:tc>
          <w:tcPr>
            <w:tcW w:w="7655" w:type="dxa"/>
            <w:tcBorders>
              <w:top w:val="single" w:sz="4" w:space="0" w:color="auto"/>
              <w:left w:val="single" w:sz="4" w:space="0" w:color="auto"/>
              <w:bottom w:val="single" w:sz="4" w:space="0" w:color="auto"/>
              <w:right w:val="single" w:sz="4" w:space="0" w:color="auto"/>
            </w:tcBorders>
            <w:vAlign w:val="center"/>
          </w:tcPr>
          <w:p w14:paraId="58EF55A3" w14:textId="77777777" w:rsidR="00965CEB" w:rsidRPr="00E94B0F" w:rsidRDefault="00965CEB" w:rsidP="004F3087">
            <w:pPr>
              <w:spacing w:before="60" w:after="120"/>
              <w:jc w:val="both"/>
              <w:rPr>
                <w:rFonts w:ascii="Times New Roman" w:hAnsi="Times New Roman"/>
                <w:b/>
                <w:sz w:val="24"/>
              </w:rPr>
            </w:pPr>
            <w:r>
              <w:rPr>
                <w:rFonts w:ascii="Times New Roman" w:hAnsi="Times New Roman"/>
                <w:b/>
                <w:sz w:val="24"/>
              </w:rPr>
              <w:t>Kogusumma</w:t>
            </w:r>
          </w:p>
          <w:p w14:paraId="70B531DE" w14:textId="77777777" w:rsidR="00965CEB" w:rsidRPr="007F4CC8" w:rsidRDefault="00965CEB" w:rsidP="004F3087">
            <w:pPr>
              <w:spacing w:before="60" w:after="120"/>
              <w:jc w:val="both"/>
              <w:rPr>
                <w:rFonts w:ascii="Times New Roman" w:hAnsi="Times New Roman" w:cs="Times New Roman"/>
                <w:sz w:val="24"/>
              </w:rPr>
            </w:pPr>
            <w:r>
              <w:rPr>
                <w:rFonts w:ascii="Times New Roman" w:hAnsi="Times New Roman"/>
                <w:sz w:val="24"/>
              </w:rPr>
              <w:t>vormi ridadel 1, 7, 13 ja 19 esitatud summade kogusumma.</w:t>
            </w:r>
          </w:p>
        </w:tc>
      </w:tr>
      <w:tr w:rsidR="00965CEB" w:rsidRPr="007F4CC8" w14:paraId="32AF233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1D859F" w14:textId="77777777" w:rsidR="00965CEB" w:rsidRPr="007F4CC8" w:rsidRDefault="00965CEB" w:rsidP="004F3087">
            <w:pPr>
              <w:pStyle w:val="TableMainHeading"/>
              <w:spacing w:before="60"/>
              <w:jc w:val="center"/>
              <w:rPr>
                <w:rFonts w:ascii="Times New Roman" w:hAnsi="Times New Roman"/>
                <w:b/>
                <w:sz w:val="24"/>
                <w:szCs w:val="24"/>
              </w:rPr>
            </w:pPr>
            <w:r>
              <w:rPr>
                <w:rFonts w:ascii="Times New Roman" w:hAnsi="Times New Roman"/>
                <w:b/>
                <w:sz w:val="24"/>
              </w:rPr>
              <w:t>Veeru täht</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9BDE61" w14:textId="77777777" w:rsidR="00965CEB" w:rsidRPr="007F4CC8" w:rsidRDefault="00965CEB" w:rsidP="004F3087">
            <w:pPr>
              <w:pStyle w:val="TableMainHeading"/>
              <w:spacing w:before="60"/>
              <w:rPr>
                <w:rFonts w:ascii="Times New Roman" w:hAnsi="Times New Roman"/>
                <w:b/>
                <w:sz w:val="24"/>
                <w:szCs w:val="24"/>
              </w:rPr>
            </w:pPr>
            <w:r>
              <w:rPr>
                <w:rFonts w:ascii="Times New Roman" w:hAnsi="Times New Roman"/>
                <w:b/>
                <w:sz w:val="24"/>
              </w:rPr>
              <w:t>Selgitus</w:t>
            </w:r>
          </w:p>
        </w:tc>
      </w:tr>
      <w:tr w:rsidR="00965CEB" w:rsidRPr="007F4CC8" w14:paraId="03A75FC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3E748CF" w14:textId="77777777" w:rsidR="00965CEB" w:rsidRPr="007F4CC8" w:rsidRDefault="00965CEB" w:rsidP="004F3087">
            <w:pPr>
              <w:pStyle w:val="Applicationdirecte"/>
              <w:spacing w:before="0" w:after="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AE0CD6B" w14:textId="77777777" w:rsidR="00965CEB" w:rsidRPr="00E94B0F" w:rsidRDefault="00965CEB" w:rsidP="004F3087">
            <w:pPr>
              <w:spacing w:after="120"/>
              <w:jc w:val="both"/>
              <w:rPr>
                <w:rFonts w:ascii="Times New Roman" w:hAnsi="Times New Roman"/>
                <w:b/>
                <w:color w:val="000000"/>
                <w:sz w:val="24"/>
              </w:rPr>
            </w:pPr>
            <w:r>
              <w:rPr>
                <w:rFonts w:ascii="Times New Roman" w:hAnsi="Times New Roman"/>
                <w:b/>
                <w:color w:val="000000"/>
                <w:sz w:val="24"/>
              </w:rPr>
              <w:t xml:space="preserve">Eelmiste </w:t>
            </w:r>
            <w:r>
              <w:rPr>
                <w:rFonts w:ascii="Times New Roman" w:hAnsi="Times New Roman"/>
                <w:b/>
                <w:sz w:val="24"/>
              </w:rPr>
              <w:t>perioodide eest määratud edasilükatud töötasu kogusumma</w:t>
            </w:r>
          </w:p>
          <w:p w14:paraId="7D355FC1"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Eelmiste perioodide eest määratud edasilükatud töötasu summa, mis on määratud kindlaks vastavalt kapitalinõuete direktiivi artiklile 94 (vormi veergudes b ja c esitatud summade kogusumma).</w:t>
            </w:r>
          </w:p>
        </w:tc>
      </w:tr>
      <w:tr w:rsidR="00965CEB" w:rsidRPr="007F4CC8" w14:paraId="4861A17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71342DE" w14:textId="77777777" w:rsidR="00965CEB" w:rsidRPr="007F4CC8" w:rsidRDefault="00965CEB" w:rsidP="004F3087">
            <w:pPr>
              <w:pStyle w:val="Applicationdirecte"/>
              <w:spacing w:before="0" w:after="0"/>
              <w:jc w:val="center"/>
            </w:pPr>
            <w:r>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8F9211B"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Millest: nõudeõigus tekib majandusaastal</w:t>
            </w:r>
          </w:p>
          <w:p w14:paraId="1877D636" w14:textId="77777777" w:rsidR="00965CEB" w:rsidRPr="007F4CC8" w:rsidRDefault="00965CEB" w:rsidP="004F3087">
            <w:pPr>
              <w:spacing w:after="120"/>
              <w:jc w:val="both"/>
              <w:rPr>
                <w:rFonts w:ascii="Times New Roman" w:hAnsi="Times New Roman"/>
                <w:color w:val="000000"/>
                <w:sz w:val="24"/>
              </w:rPr>
            </w:pPr>
            <w:r>
              <w:rPr>
                <w:rFonts w:ascii="Times New Roman" w:hAnsi="Times New Roman"/>
                <w:sz w:val="24"/>
              </w:rPr>
              <w:t>Eelmiste perioodide eest määratud edasilükatud töötasu summa, mis on määratud kindlaks vastavalt kapitalinõuete direktiivi artiklile 94 ja millele tekib nõudeõigus asjaomasel majandusaastal.</w:t>
            </w:r>
          </w:p>
        </w:tc>
      </w:tr>
      <w:tr w:rsidR="00965CEB" w:rsidRPr="007F4CC8" w14:paraId="4F4F4E4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47B655C" w14:textId="77777777" w:rsidR="00965CEB" w:rsidRPr="007F4CC8" w:rsidRDefault="00965CEB" w:rsidP="004F3087">
            <w:pPr>
              <w:pStyle w:val="Applicationdirecte"/>
              <w:spacing w:before="0" w:after="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CEC572E"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Millest: nõudeõiguse tekib järgnevatel majandusaastatel</w:t>
            </w:r>
          </w:p>
          <w:p w14:paraId="41D97AF8" w14:textId="77777777" w:rsidR="00965CEB" w:rsidRPr="007F4CC8" w:rsidRDefault="00965CEB" w:rsidP="004F3087">
            <w:pPr>
              <w:spacing w:after="120"/>
              <w:jc w:val="both"/>
              <w:rPr>
                <w:rFonts w:ascii="Times New Roman" w:hAnsi="Times New Roman"/>
                <w:color w:val="000000"/>
                <w:sz w:val="24"/>
              </w:rPr>
            </w:pPr>
            <w:r>
              <w:rPr>
                <w:rFonts w:ascii="Times New Roman" w:hAnsi="Times New Roman"/>
                <w:sz w:val="24"/>
              </w:rPr>
              <w:t>Eelmiste perioodide eest määratud edasilükatud töötasu summa, mis on määratud kindlaks vastavalt kapitalinõuete direktiivi artiklile 94 ja millele tekib nõudeõigus järgmistel majandusaastatel.</w:t>
            </w:r>
          </w:p>
        </w:tc>
      </w:tr>
      <w:tr w:rsidR="00965CEB" w:rsidRPr="007F4CC8" w14:paraId="44F6D02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07B50B0" w14:textId="77777777" w:rsidR="00965CEB" w:rsidRPr="007F4CC8" w:rsidRDefault="00965CEB" w:rsidP="004F3087">
            <w:pPr>
              <w:pStyle w:val="Applicationdirecte"/>
              <w:spacing w:before="0" w:after="0"/>
              <w:jc w:val="center"/>
            </w:pPr>
            <w:r>
              <w:lastRenderedPageBreak/>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5D347AF"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Summa, mille võrra asjaomasel majandusaastal korrigeeriti tulemustest lähtuvalt sellise edasilükatud töötasu summat, millele pidi tekkima nõudeõigus samal majandusaastal</w:t>
            </w:r>
          </w:p>
          <w:p w14:paraId="1571AC97"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Kapitalinõuete direktiivi artikli 94 kohaselt kindlaks määratud summa, mille võrra korrigeeriti tulemustest lähtuvalt sellise edasilükatud töötasu summat, millele pidi tekkima nõudeõigus asjaomasel majandusaastal.</w:t>
            </w:r>
          </w:p>
        </w:tc>
      </w:tr>
      <w:tr w:rsidR="00965CEB" w:rsidRPr="007F4CC8" w14:paraId="5B84E88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B9D5ECF" w14:textId="77777777" w:rsidR="00965CEB" w:rsidRPr="007F4CC8" w:rsidRDefault="00965CEB" w:rsidP="004F3087">
            <w:pPr>
              <w:pStyle w:val="Applicationdirecte"/>
              <w:spacing w:before="0" w:after="0"/>
              <w:jc w:val="center"/>
            </w:pPr>
            <w:r>
              <w:t>e</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F4B0CD4"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Summa, mille võrra asjaomasel majandusaastal korrigeeriti tulemustest lähtuvalt sellise edasilükatud töötasu summat, millele pidi tekkima nõudeõigus tulevastel majandusaastatel</w:t>
            </w:r>
          </w:p>
          <w:p w14:paraId="2D3814DB"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Kapitalinõuete direktiivi artikli 94 kohaselt kindlaks määratud summa, mille võrra korrigeeriti tulemustest lähtuvalt sellise edasilükatud töötasu summat, millele pidi tekkima nõudeõigus tulevastel aastatel.</w:t>
            </w:r>
          </w:p>
        </w:tc>
      </w:tr>
      <w:tr w:rsidR="00965CEB" w:rsidRPr="007F4CC8" w14:paraId="22206507"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4D879A1" w14:textId="77777777" w:rsidR="00965CEB" w:rsidRPr="007F4CC8" w:rsidRDefault="00965CEB" w:rsidP="004F3087">
            <w:pPr>
              <w:pStyle w:val="Applicationdirecte"/>
              <w:spacing w:before="0" w:after="0"/>
              <w:jc w:val="center"/>
            </w:pPr>
            <w:r>
              <w:t>f</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FBEC405"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Majandusaasta</w:t>
            </w:r>
            <w:r>
              <w:rPr>
                <w:b/>
              </w:rPr>
              <w:t xml:space="preserve"> </w:t>
            </w:r>
            <w:r>
              <w:rPr>
                <w:rFonts w:ascii="Times New Roman" w:hAnsi="Times New Roman"/>
                <w:b/>
                <w:sz w:val="24"/>
              </w:rPr>
              <w:t>jooksul toimunud selliste korrigeerimiste kogusumma, mis tulenevad majandusaasta jooksul toimunud kaudsetest tagantjärele korrigeerimistest (st edasilükatud töötasu väärtuse muutused instrumentide hindade muutuste tõttu)</w:t>
            </w:r>
          </w:p>
          <w:p w14:paraId="6472C5F0"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 xml:space="preserve">Kui see on asjakohane, siis majandusaasta jooksul toimunud selliste väärtuse muutuste summa, mis tulenevad kaudsetest tagantjärele korrigeerimistest (nt edasilükatud töötasu väärtuse muutused instrumentide hindade muutuste tõttu), hinnatuna võimaluste piires. </w:t>
            </w:r>
          </w:p>
        </w:tc>
      </w:tr>
      <w:tr w:rsidR="00965CEB" w:rsidRPr="007F4CC8" w14:paraId="75104DD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D0730B" w14:textId="77777777" w:rsidR="00965CEB" w:rsidRPr="007F4CC8" w:rsidRDefault="00965CEB" w:rsidP="004F3087">
            <w:pPr>
              <w:pStyle w:val="Applicationdirecte"/>
              <w:spacing w:before="0" w:after="0"/>
              <w:jc w:val="center"/>
            </w:pPr>
            <w:r>
              <w:t>EU-g</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ADA3B00" w14:textId="77777777" w:rsidR="00965CEB" w:rsidRPr="00E94B0F" w:rsidRDefault="00965CEB" w:rsidP="004F3087">
            <w:pPr>
              <w:spacing w:after="120"/>
              <w:jc w:val="both"/>
              <w:rPr>
                <w:rFonts w:ascii="Times New Roman" w:hAnsi="Times New Roman"/>
                <w:b/>
                <w:sz w:val="24"/>
              </w:rPr>
            </w:pPr>
            <w:r>
              <w:rPr>
                <w:rFonts w:ascii="Times New Roman" w:hAnsi="Times New Roman"/>
                <w:b/>
                <w:sz w:val="24"/>
              </w:rPr>
              <w:t>Enne majandusaastat määratud ja majandusaastal tegelikult väljamakstud edasilükatud töötasu kogusumma</w:t>
            </w:r>
          </w:p>
          <w:p w14:paraId="711625D8"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Kapitalinõuete direktiivi artiklil 94 kohaselt kindlaks määratud edasilükatud töötasu summa, mis on asjaomasel majandusaastal välja makstud.</w:t>
            </w:r>
          </w:p>
          <w:p w14:paraId="79B6CE2B"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Kohe, kui edasilükatud töötasule tekib nõudeõigus, käsitatakse seda väljamakstuna.</w:t>
            </w:r>
          </w:p>
        </w:tc>
      </w:tr>
      <w:tr w:rsidR="00965CEB" w:rsidRPr="007F4CC8" w14:paraId="6F3ADEB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D86310E" w14:textId="77777777" w:rsidR="00965CEB" w:rsidRPr="007F4CC8" w:rsidRDefault="00965CEB" w:rsidP="004F3087">
            <w:pPr>
              <w:pStyle w:val="Applicationdirecte"/>
              <w:spacing w:before="0" w:after="0"/>
              <w:jc w:val="center"/>
            </w:pPr>
            <w:r>
              <w:t>EU-h</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014AFBD" w14:textId="77777777" w:rsidR="00965CEB" w:rsidRPr="007479E6" w:rsidRDefault="00965CEB" w:rsidP="004F3087">
            <w:pPr>
              <w:spacing w:after="120"/>
              <w:jc w:val="both"/>
              <w:rPr>
                <w:rFonts w:ascii="Times New Roman" w:hAnsi="Times New Roman"/>
                <w:b/>
                <w:sz w:val="24"/>
              </w:rPr>
            </w:pPr>
            <w:r>
              <w:rPr>
                <w:rFonts w:ascii="Times New Roman" w:hAnsi="Times New Roman"/>
                <w:b/>
                <w:sz w:val="24"/>
              </w:rPr>
              <w:t>Eelmise tulemusperioodi eest määratud edasilükatud töötasu kogusumma, millele on tekkinud nõudeõigus, kuid mille suhtes kohaldatakse kinnihoidmisperioodi</w:t>
            </w:r>
          </w:p>
          <w:p w14:paraId="64A6D4B4" w14:textId="77777777" w:rsidR="00965CEB" w:rsidRPr="007F4CC8" w:rsidRDefault="00965CEB" w:rsidP="004F3087">
            <w:pPr>
              <w:spacing w:after="120"/>
              <w:jc w:val="both"/>
              <w:rPr>
                <w:rFonts w:ascii="Times New Roman" w:hAnsi="Times New Roman" w:cs="Times New Roman"/>
                <w:sz w:val="24"/>
              </w:rPr>
            </w:pPr>
            <w:r>
              <w:rPr>
                <w:rFonts w:ascii="Times New Roman" w:hAnsi="Times New Roman"/>
                <w:sz w:val="24"/>
              </w:rPr>
              <w:t>Kapitalinõuete direktiivi artikli 94 kohaselt kindlaks määratud edasilükatud töötasu summa, mis on määratud eelmiste tulemusperioodide eest ja millele on tekkinud nõudeõigus, kuid mille suhtes kohaldatakse kinnihoidmisperioodi.</w:t>
            </w:r>
          </w:p>
        </w:tc>
      </w:tr>
    </w:tbl>
    <w:p w14:paraId="407F372C" w14:textId="77777777" w:rsidR="00965CEB" w:rsidRPr="007F4CC8" w:rsidRDefault="00965CEB" w:rsidP="00965CEB">
      <w:pPr>
        <w:rPr>
          <w:rFonts w:ascii="Times New Roman" w:hAnsi="Times New Roman" w:cs="Times New Roman"/>
          <w:sz w:val="24"/>
        </w:rPr>
      </w:pPr>
    </w:p>
    <w:p w14:paraId="6B747669" w14:textId="77777777" w:rsidR="00965CEB" w:rsidRPr="007F4CC8" w:rsidRDefault="00965CEB" w:rsidP="00965CEB">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Vorm EU REM4. Töötasu vähemalt 1 miljon eurot aastas. </w:t>
      </w:r>
      <w:r>
        <w:rPr>
          <w:rFonts w:ascii="Times New Roman" w:hAnsi="Times New Roman"/>
          <w:color w:val="auto"/>
          <w:sz w:val="24"/>
        </w:rPr>
        <w:t>Muutumatu vorming</w:t>
      </w:r>
    </w:p>
    <w:p w14:paraId="6DEF9BC5"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Finantsinstitutsioonid avalikustavad kapitalinõuete määruse artikli 450 lõike 1 punktis i osutatud teabe, järgides käesolevas lisas allpool esitatud juhiseid, et täita käesoleva rakendusmääruse XXXIII lisas esitatud vorm EU REM4.</w:t>
      </w:r>
    </w:p>
    <w:p w14:paraId="1C37B7B3"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Andmete esitamisel kasutatakse majandusaasta lõpu näitajaid eurodes. Kõik summad avalikustatakse täissummadena, st ümardamata summadena, eurodes (nt 1 234 567 eurot, mitte 1,2 miljonit eurot). Kui töötasu on muus vääringus kui euro, kasutatakse konsolideeritud näitajate puhul vahetuskurssi, mida komisjon kasutab finantsplaneerimisel ja eelarve koostamisel aruandeaasta detsembris.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2B056ED8"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8F0D7E" w14:textId="77777777" w:rsidR="00965CEB" w:rsidRPr="007F4CC8" w:rsidRDefault="00965CEB" w:rsidP="004F3087">
            <w:pPr>
              <w:rPr>
                <w:rFonts w:ascii="Times New Roman" w:hAnsi="Times New Roman" w:cs="Times New Roman"/>
                <w:b/>
                <w:sz w:val="24"/>
              </w:rPr>
            </w:pPr>
            <w:r>
              <w:rPr>
                <w:rFonts w:ascii="Times New Roman" w:hAnsi="Times New Roman"/>
                <w:b/>
                <w:sz w:val="24"/>
              </w:rPr>
              <w:lastRenderedPageBreak/>
              <w:t>Viited õigussätetele ja juhised</w:t>
            </w:r>
          </w:p>
        </w:tc>
      </w:tr>
      <w:tr w:rsidR="00965CEB" w:rsidRPr="007F4CC8" w14:paraId="6BD60B0D" w14:textId="77777777" w:rsidTr="004F3087">
        <w:trPr>
          <w:trHeight w:val="238"/>
        </w:trPr>
        <w:tc>
          <w:tcPr>
            <w:tcW w:w="1384" w:type="dxa"/>
            <w:shd w:val="clear" w:color="auto" w:fill="D9D9D9" w:themeFill="background1" w:themeFillShade="D9"/>
          </w:tcPr>
          <w:p w14:paraId="0A7A26AB"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0B2A2B91"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965CEB" w:rsidRPr="007F4CC8" w14:paraId="7A73EF6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D72E677"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1–8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C0016B6"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Töötasu majandusaastal jääb 1–5 miljoni euro vahele, esitatuna 500 000 euro suuruste palgajärkude kaupa</w:t>
            </w:r>
          </w:p>
        </w:tc>
      </w:tr>
      <w:tr w:rsidR="00965CEB" w:rsidRPr="007F4CC8" w14:paraId="1EAC8B5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CB501FD"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9 kuni x</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1A1536" w14:textId="77777777" w:rsidR="00965CEB" w:rsidRPr="007F4CC8" w:rsidRDefault="00965CEB" w:rsidP="004F3087">
            <w:pPr>
              <w:autoSpaceDE w:val="0"/>
              <w:autoSpaceDN w:val="0"/>
              <w:adjustRightInd w:val="0"/>
              <w:spacing w:after="120"/>
              <w:rPr>
                <w:rFonts w:ascii="Times New Roman" w:hAnsi="Times New Roman" w:cs="Times New Roman"/>
                <w:sz w:val="24"/>
              </w:rPr>
            </w:pPr>
            <w:r>
              <w:rPr>
                <w:rFonts w:ascii="Times New Roman" w:hAnsi="Times New Roman"/>
                <w:sz w:val="24"/>
              </w:rPr>
              <w:t>Töötasu majandusaastal on rohkem kui 5 miljonit eurot, esitatuna 1 miljoni euro suuruste palgajärkude kaupa</w:t>
            </w:r>
          </w:p>
        </w:tc>
      </w:tr>
      <w:tr w:rsidR="00965CEB" w:rsidRPr="007F4CC8" w14:paraId="3B14BCA0"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6A5076" w14:textId="77777777" w:rsidR="00965CEB" w:rsidRPr="007F4CC8" w:rsidRDefault="00965CEB" w:rsidP="004F3087">
            <w:pPr>
              <w:pStyle w:val="Applicationdirecte"/>
              <w:spacing w:before="0"/>
              <w:jc w:val="center"/>
              <w:rPr>
                <w:b/>
              </w:rPr>
            </w:pPr>
            <w:r>
              <w:rPr>
                <w:b/>
              </w:rPr>
              <w:t>Veeru täht</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9DA01F" w14:textId="77777777" w:rsidR="00965CEB" w:rsidRPr="007F4CC8" w:rsidRDefault="00965CEB" w:rsidP="004F3087">
            <w:pPr>
              <w:pStyle w:val="TableMainHeading"/>
              <w:spacing w:before="60"/>
              <w:rPr>
                <w:rFonts w:ascii="Times New Roman" w:hAnsi="Times New Roman"/>
                <w:b/>
                <w:sz w:val="24"/>
                <w:szCs w:val="24"/>
              </w:rPr>
            </w:pPr>
            <w:r>
              <w:rPr>
                <w:rFonts w:ascii="Times New Roman" w:hAnsi="Times New Roman"/>
                <w:b/>
                <w:sz w:val="24"/>
              </w:rPr>
              <w:t>Selgitus</w:t>
            </w:r>
          </w:p>
        </w:tc>
      </w:tr>
      <w:tr w:rsidR="00965CEB" w:rsidRPr="007F4CC8" w14:paraId="3F457083"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595073D" w14:textId="77777777" w:rsidR="00965CEB" w:rsidRPr="007F4CC8" w:rsidRDefault="00965CEB" w:rsidP="004F3087">
            <w:pPr>
              <w:autoSpaceDE w:val="0"/>
              <w:autoSpaceDN w:val="0"/>
              <w:adjustRightInd w:val="0"/>
              <w:jc w:val="center"/>
              <w:rPr>
                <w:rFonts w:ascii="Times New Roman" w:hAnsi="Times New Roman" w:cs="Times New Roman"/>
                <w:sz w:val="24"/>
              </w:rPr>
            </w:pPr>
            <w:r>
              <w:rPr>
                <w:rFonts w:ascii="Times New Roman" w:hAnsi="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1438314"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Selliste kindlaksmääratud töötajate arv, kelle töötasu majandusaasta jooksul oli 1 miljon eurot või rohkem</w:t>
            </w:r>
          </w:p>
          <w:p w14:paraId="760880E3" w14:textId="77777777" w:rsidR="00965CEB" w:rsidRPr="007F4CC8" w:rsidRDefault="00965CEB" w:rsidP="004F3087">
            <w:pPr>
              <w:autoSpaceDE w:val="0"/>
              <w:autoSpaceDN w:val="0"/>
              <w:adjustRightInd w:val="0"/>
              <w:spacing w:before="60" w:after="120"/>
              <w:jc w:val="both"/>
              <w:rPr>
                <w:rFonts w:ascii="Times New Roman" w:hAnsi="Times New Roman"/>
                <w:sz w:val="24"/>
              </w:rPr>
            </w:pPr>
            <w:r>
              <w:rPr>
                <w:rFonts w:ascii="Times New Roman" w:hAnsi="Times New Roman"/>
                <w:sz w:val="24"/>
              </w:rPr>
              <w:t>Finantsinstitutsioonid avalikustavad teabe, mis põhineb töötajate arvul.</w:t>
            </w:r>
          </w:p>
        </w:tc>
      </w:tr>
    </w:tbl>
    <w:p w14:paraId="65FA28BB" w14:textId="77777777" w:rsidR="00965CEB" w:rsidRPr="007F4CC8" w:rsidRDefault="00965CEB" w:rsidP="00965CEB">
      <w:pPr>
        <w:rPr>
          <w:rFonts w:ascii="Times New Roman" w:hAnsi="Times New Roman" w:cs="Times New Roman"/>
          <w:sz w:val="24"/>
        </w:rPr>
      </w:pPr>
    </w:p>
    <w:p w14:paraId="48F9714A" w14:textId="77777777" w:rsidR="00965CEB" w:rsidRPr="007F4CC8" w:rsidRDefault="00965CEB" w:rsidP="00965CEB">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Vorm EU REM5. Teave töötajate kohta, kelle ametialane tegevus mõjutab oluliselt finantsinstitutsiooni riskiprofiili (kindlaksmääratud töötajad). </w:t>
      </w:r>
      <w:r>
        <w:rPr>
          <w:rFonts w:ascii="Times New Roman" w:hAnsi="Times New Roman"/>
          <w:color w:val="auto"/>
          <w:sz w:val="24"/>
        </w:rPr>
        <w:t>Muutumatu vorming</w:t>
      </w:r>
    </w:p>
    <w:p w14:paraId="247BF82E"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Finantsinstitutsioonid avalikustavad kapitalinõuete määruse artikli 450 lõike 1 punktis g osutatud teabe, järgides käesolevas lisas allpool esitatud juhiseid, et täita käesoleva rakendusmääruse XXXIII lisas esitatud vorm EU REM5.</w:t>
      </w:r>
    </w:p>
    <w:p w14:paraId="42ECBD73" w14:textId="77777777"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rPr>
      </w:pPr>
      <w:r>
        <w:rPr>
          <w:rFonts w:ascii="Times New Roman" w:hAnsi="Times New Roman"/>
          <w:color w:val="auto"/>
          <w:sz w:val="24"/>
        </w:rPr>
        <w:t>Ärivaldkondade jaotusega veergudes kajastatakse kõik laenud, sealhulgas hulgilaenud, jaelaenude all. Investeerimispanganduse puhul hõlmab see ärirahandust ning kauplemist ja müüki. Täpsemad juhised nendesse äriliinidesse kuuluvate tegevuste kohta on esitatud kapitalinõuete määruse artiklis 317 tabelis, milles on määratletud äriliinid operatsiooniriski standardmeetodi puhul.</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14:paraId="423D8935"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2CBC39" w14:textId="77777777" w:rsidR="00965CEB" w:rsidRPr="007F4CC8" w:rsidRDefault="00965CEB" w:rsidP="004F3087">
            <w:pPr>
              <w:rPr>
                <w:rFonts w:ascii="Times New Roman" w:hAnsi="Times New Roman" w:cs="Times New Roman"/>
                <w:b/>
                <w:sz w:val="24"/>
              </w:rPr>
            </w:pPr>
            <w:r>
              <w:rPr>
                <w:rFonts w:ascii="Times New Roman" w:hAnsi="Times New Roman"/>
                <w:b/>
                <w:sz w:val="24"/>
              </w:rPr>
              <w:t>Viited õigussätetele ja juhised</w:t>
            </w:r>
          </w:p>
        </w:tc>
      </w:tr>
      <w:tr w:rsidR="00965CEB" w:rsidRPr="007F4CC8" w14:paraId="233293E2" w14:textId="77777777" w:rsidTr="004F3087">
        <w:trPr>
          <w:trHeight w:val="687"/>
        </w:trPr>
        <w:tc>
          <w:tcPr>
            <w:tcW w:w="1384" w:type="dxa"/>
            <w:shd w:val="clear" w:color="auto" w:fill="D9D9D9" w:themeFill="background1" w:themeFillShade="D9"/>
          </w:tcPr>
          <w:p w14:paraId="4DC5A06D" w14:textId="77777777" w:rsidR="00965CEB" w:rsidRPr="007F4CC8" w:rsidRDefault="00965CEB" w:rsidP="004F3087">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31A85E33" w14:textId="77777777" w:rsidR="00965CEB" w:rsidRPr="007F4CC8" w:rsidRDefault="00965CEB" w:rsidP="004F3087">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965CEB" w:rsidRPr="007F4CC8" w14:paraId="01F5A89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6601845"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 xml:space="preserve">1 </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F9000BC" w14:textId="77777777" w:rsidR="00965CEB" w:rsidRPr="007479E6" w:rsidRDefault="00965CEB" w:rsidP="004F3087">
            <w:pPr>
              <w:autoSpaceDE w:val="0"/>
              <w:autoSpaceDN w:val="0"/>
              <w:adjustRightInd w:val="0"/>
              <w:spacing w:after="120"/>
              <w:jc w:val="both"/>
              <w:rPr>
                <w:rFonts w:ascii="Times New Roman" w:hAnsi="Times New Roman" w:cs="Times New Roman"/>
                <w:b/>
                <w:sz w:val="24"/>
              </w:rPr>
            </w:pPr>
            <w:r>
              <w:rPr>
                <w:rFonts w:ascii="Times New Roman" w:hAnsi="Times New Roman"/>
                <w:b/>
                <w:sz w:val="24"/>
              </w:rPr>
              <w:t>Kindlaksmääratud töötajate koguarv</w:t>
            </w:r>
          </w:p>
          <w:p w14:paraId="2278F4D4"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Finantsinstitutsiooni ja selle tütarettevõtjate (sealhulgas tütarettevõtjad, kelle suhtes ei kohaldata kapitalinõuete direktiivi) töötajad, kelle ametialane tegevus mõjutab oluliselt finantsinstitutsiooni riskiprofiili (kindlaksmääratud töötajad), ja kõik vastavate juhtorganite liikmed.</w:t>
            </w:r>
          </w:p>
          <w:p w14:paraId="15553C44"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Väärtus avalikustatakse täistööajale taandatud töötajate arvu alusel.</w:t>
            </w:r>
          </w:p>
        </w:tc>
      </w:tr>
      <w:tr w:rsidR="00965CEB" w:rsidRPr="007F4CC8" w14:paraId="66892647"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8525372"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958100A" w14:textId="77777777" w:rsidR="00965CEB" w:rsidRPr="007479E6" w:rsidRDefault="00965CEB" w:rsidP="004F3087">
            <w:pPr>
              <w:autoSpaceDE w:val="0"/>
              <w:autoSpaceDN w:val="0"/>
              <w:adjustRightInd w:val="0"/>
              <w:spacing w:after="120"/>
              <w:jc w:val="both"/>
              <w:rPr>
                <w:rFonts w:ascii="Times New Roman" w:hAnsi="Times New Roman"/>
                <w:b/>
                <w:sz w:val="24"/>
              </w:rPr>
            </w:pPr>
            <w:r>
              <w:rPr>
                <w:rFonts w:ascii="Times New Roman" w:hAnsi="Times New Roman"/>
                <w:b/>
                <w:sz w:val="24"/>
              </w:rPr>
              <w:t>Millest: juhtorgani liikmed</w:t>
            </w:r>
          </w:p>
          <w:p w14:paraId="626C0F05" w14:textId="7777777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Järelevalvefunktsiooni täitva juhtorgani ja juhtimisfunktsiooni täitva juhtorgani liikmete arv ning kõigi juhtorgani liikmete arv.</w:t>
            </w:r>
          </w:p>
        </w:tc>
      </w:tr>
      <w:tr w:rsidR="00965CEB" w:rsidRPr="007F4CC8" w14:paraId="7E2EF40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68E6E79"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130FB64"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Millest: muu kõrgem juhtkond</w:t>
            </w:r>
          </w:p>
          <w:p w14:paraId="1F28E03B" w14:textId="77777777" w:rsidR="00965CEB" w:rsidRPr="007F4CC8" w:rsidRDefault="00965CEB" w:rsidP="004F3087">
            <w:pPr>
              <w:autoSpaceDE w:val="0"/>
              <w:autoSpaceDN w:val="0"/>
              <w:adjustRightInd w:val="0"/>
              <w:spacing w:after="120"/>
              <w:jc w:val="both"/>
              <w:rPr>
                <w:rFonts w:ascii="Times New Roman" w:hAnsi="Times New Roman"/>
                <w:sz w:val="24"/>
              </w:rPr>
            </w:pPr>
            <w:r>
              <w:rPr>
                <w:rFonts w:ascii="Times New Roman" w:hAnsi="Times New Roman"/>
                <w:sz w:val="24"/>
              </w:rPr>
              <w:t>Muud töötajad, kes ei ole juhtorgani liikmed, vaid on kapitalinõuete direktiivi artikli 3 lõike 1 punktis 9 määratletud kõrgema juhtkonna liikmed.</w:t>
            </w:r>
          </w:p>
        </w:tc>
      </w:tr>
      <w:tr w:rsidR="00965CEB" w:rsidRPr="007F4CC8" w14:paraId="576C78F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A556E89"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A7E7979"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Millest: muud kindlaksmääratud töötajad</w:t>
            </w:r>
          </w:p>
          <w:p w14:paraId="110712E4" w14:textId="77777777" w:rsidR="00965CEB" w:rsidRPr="007F4CC8" w:rsidRDefault="00965CEB" w:rsidP="004F3087">
            <w:pPr>
              <w:autoSpaceDE w:val="0"/>
              <w:autoSpaceDN w:val="0"/>
              <w:adjustRightInd w:val="0"/>
              <w:spacing w:before="60" w:after="120"/>
              <w:jc w:val="both"/>
              <w:rPr>
                <w:rFonts w:ascii="Times New Roman" w:hAnsi="Times New Roman"/>
                <w:sz w:val="24"/>
                <w:highlight w:val="yellow"/>
              </w:rPr>
            </w:pPr>
            <w:r>
              <w:rPr>
                <w:rFonts w:ascii="Times New Roman" w:hAnsi="Times New Roman"/>
                <w:sz w:val="24"/>
              </w:rPr>
              <w:t xml:space="preserve">Muud töötajad, kes ei ole juhtorgani ja kõrgema juhtkonna liikmed, aga kelle ametialane tegevus mõjutab oluliselt finantsinstitutsiooni riskiprofiili </w:t>
            </w:r>
            <w:r>
              <w:rPr>
                <w:rFonts w:ascii="Times New Roman" w:hAnsi="Times New Roman"/>
                <w:sz w:val="24"/>
              </w:rPr>
              <w:lastRenderedPageBreak/>
              <w:t>kooskõlas kriteeriumidega, mis on sätestatud kindlaksmääratud töötajaid käsitlevas komisjoni delegeeritud määruses, millega rakendatakse kapitalinõuete direktiivi artikli 94 lõiget 2, ja vajaduse korral ka kooskõlas finantsinstitutsiooni kriteeriumidega.</w:t>
            </w:r>
          </w:p>
        </w:tc>
      </w:tr>
      <w:tr w:rsidR="00965CEB" w:rsidRPr="007F4CC8" w14:paraId="5E0A7C3D"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686D4B"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lastRenderedPageBreak/>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C35DBD7" w14:textId="77777777" w:rsidR="00965CEB" w:rsidRPr="007479E6" w:rsidRDefault="00965CEB" w:rsidP="004F3087">
            <w:pPr>
              <w:autoSpaceDE w:val="0"/>
              <w:autoSpaceDN w:val="0"/>
              <w:adjustRightInd w:val="0"/>
              <w:spacing w:after="120"/>
              <w:jc w:val="both"/>
              <w:rPr>
                <w:rFonts w:ascii="Times New Roman" w:hAnsi="Times New Roman"/>
                <w:b/>
                <w:sz w:val="24"/>
              </w:rPr>
            </w:pPr>
            <w:r>
              <w:rPr>
                <w:rFonts w:ascii="Times New Roman" w:hAnsi="Times New Roman"/>
                <w:b/>
                <w:sz w:val="24"/>
              </w:rPr>
              <w:t>Kindlaksmääratud töötajate töötasu kogusumma</w:t>
            </w:r>
          </w:p>
          <w:p w14:paraId="393FC237"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Töötasu kogusumma on igasugune põhi- ja muutuvtasu ning see hõlmab rahalisi ja mitterahalisi makseid ja hüvitisi, mis määratakse finantsinstitutsioonide poolt otse või nende nimel töötajatele vastutasuks töötajate osutatud kutsealaste teenuste eest, samuti teenitud intressi makseid direktiivi 2011/61/EL</w:t>
            </w:r>
            <w:r>
              <w:rPr>
                <w:rStyle w:val="FootnoteReference"/>
                <w:rFonts w:cs="Times New Roman"/>
              </w:rPr>
              <w:footnoteReference w:id="4"/>
            </w:r>
            <w:r>
              <w:rPr>
                <w:rFonts w:ascii="Times New Roman" w:hAnsi="Times New Roman"/>
                <w:sz w:val="24"/>
              </w:rPr>
              <w:t xml:space="preserve"> artikli 4 lõike 1 punkti d tähenduses ning muid makseid, mis on tehtud meetodite ja vahendite kaudu, mis juhul, kui neid ei käsitataks tasuna, tooksid kaasa kapitalinõuete direktiivi tasustamisnõuete eiramise.</w:t>
            </w:r>
          </w:p>
        </w:tc>
      </w:tr>
      <w:tr w:rsidR="00965CEB" w:rsidRPr="007F4CC8" w14:paraId="05EE8EE0"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34D1C35"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03FF43F" w14:textId="77777777" w:rsidR="00965CEB" w:rsidRPr="007479E6" w:rsidRDefault="00965CEB" w:rsidP="004F3087">
            <w:pPr>
              <w:autoSpaceDE w:val="0"/>
              <w:autoSpaceDN w:val="0"/>
              <w:adjustRightInd w:val="0"/>
              <w:spacing w:after="120"/>
              <w:jc w:val="both"/>
              <w:rPr>
                <w:rFonts w:ascii="Times New Roman" w:hAnsi="Times New Roman"/>
                <w:b/>
                <w:sz w:val="24"/>
              </w:rPr>
            </w:pPr>
            <w:r>
              <w:rPr>
                <w:rFonts w:ascii="Times New Roman" w:hAnsi="Times New Roman"/>
                <w:b/>
                <w:sz w:val="24"/>
              </w:rPr>
              <w:t>Millest: muutuvtasu</w:t>
            </w:r>
          </w:p>
          <w:p w14:paraId="4089EA4E" w14:textId="77777777"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Kõigi sellise töötasu komponentide summa, mis ei ole vormi real 7 osutatud põhitasu.</w:t>
            </w:r>
          </w:p>
        </w:tc>
      </w:tr>
      <w:tr w:rsidR="00965CEB" w:rsidRPr="007F4CC8" w14:paraId="141C01A8"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BEBE75E"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417B946" w14:textId="77777777" w:rsidR="00965CEB" w:rsidRPr="007479E6" w:rsidRDefault="00965CEB" w:rsidP="004F3087">
            <w:pPr>
              <w:autoSpaceDE w:val="0"/>
              <w:autoSpaceDN w:val="0"/>
              <w:adjustRightInd w:val="0"/>
              <w:spacing w:after="120"/>
              <w:jc w:val="both"/>
              <w:rPr>
                <w:rFonts w:ascii="Times New Roman" w:hAnsi="Times New Roman"/>
                <w:b/>
                <w:sz w:val="24"/>
              </w:rPr>
            </w:pPr>
            <w:r>
              <w:rPr>
                <w:rFonts w:ascii="Times New Roman" w:hAnsi="Times New Roman"/>
                <w:b/>
                <w:sz w:val="24"/>
              </w:rPr>
              <w:t>Millest: põhitasu</w:t>
            </w:r>
          </w:p>
          <w:p w14:paraId="6D2B67C7" w14:textId="6BDFB9BF" w:rsidR="00965CEB" w:rsidRPr="007F4CC8" w:rsidRDefault="00965CEB" w:rsidP="004F3087">
            <w:pPr>
              <w:autoSpaceDE w:val="0"/>
              <w:autoSpaceDN w:val="0"/>
              <w:adjustRightInd w:val="0"/>
              <w:spacing w:after="120"/>
              <w:jc w:val="both"/>
              <w:rPr>
                <w:rFonts w:ascii="Times New Roman" w:hAnsi="Times New Roman" w:cs="Times New Roman"/>
                <w:sz w:val="24"/>
              </w:rPr>
            </w:pPr>
            <w:r>
              <w:rPr>
                <w:rFonts w:ascii="Times New Roman" w:hAnsi="Times New Roman"/>
                <w:sz w:val="24"/>
              </w:rPr>
              <w:t>Finantsinstitutsioonid käsitavad töötasu põhitasuna, kui selle määramise tingimused ja summa</w:t>
            </w:r>
          </w:p>
          <w:p w14:paraId="353923B9"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põhinevad varem kindlaks määratud kriteeriumidel;</w:t>
            </w:r>
          </w:p>
          <w:p w14:paraId="6C1C2F5F"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on kohustuslikud, kajastades töötaja töökogemust ja ametis oldud aega;</w:t>
            </w:r>
          </w:p>
          <w:p w14:paraId="10522E13"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on konkreetsele töötajale määratava konkreetse summa puhul läbipaistvad;</w:t>
            </w:r>
          </w:p>
          <w:p w14:paraId="3BBE4B5F"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on püsivad, st neid säilitatakse mingi ajavahemiku jooksul seoses konkreetse rolli ja organisatsioonisisese vastutusega;</w:t>
            </w:r>
          </w:p>
          <w:p w14:paraId="0E5E4565"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ei ole tühistatavad; püsisummat muudetakse ainult kollektiivläbirääkimiste teel või uute läbirääkimiste tulemusel kooskõlas palgakujundust käsitlevate riiklike kriteeriumidega;</w:t>
            </w:r>
          </w:p>
          <w:p w14:paraId="5198EAEA"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ei ole finantsinstitutsiooni poolt vähendatavad, peatatavad ega tühistatavad;</w:t>
            </w:r>
          </w:p>
          <w:p w14:paraId="7278E7D3" w14:textId="00E5BE7D"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ei paku stiimuleid riskide võtmiseks ning</w:t>
            </w:r>
          </w:p>
          <w:p w14:paraId="23627B2C" w14:textId="77777777"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Pr>
                <w:rFonts w:ascii="Times New Roman" w:hAnsi="Times New Roman"/>
                <w:sz w:val="24"/>
              </w:rPr>
              <w:t xml:space="preserve">ei sõltu töötulemustest. </w:t>
            </w:r>
          </w:p>
        </w:tc>
      </w:tr>
      <w:tr w:rsidR="00965CEB" w:rsidRPr="007F4CC8" w14:paraId="4A45635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784620" w14:textId="77777777" w:rsidR="00965CEB" w:rsidRPr="007F4CC8" w:rsidRDefault="00965CEB" w:rsidP="004F3087">
            <w:pPr>
              <w:pStyle w:val="Applicationdirecte"/>
              <w:spacing w:before="0"/>
              <w:jc w:val="left"/>
              <w:rPr>
                <w:b/>
              </w:rPr>
            </w:pPr>
            <w:r>
              <w:rPr>
                <w:b/>
              </w:rPr>
              <w:t>Veeru täht</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270706" w14:textId="77777777" w:rsidR="00965CEB" w:rsidRPr="007F4CC8" w:rsidRDefault="00965CEB" w:rsidP="004F3087">
            <w:pPr>
              <w:pStyle w:val="TableMainHeading"/>
              <w:spacing w:before="60"/>
              <w:jc w:val="both"/>
              <w:rPr>
                <w:rFonts w:ascii="Times New Roman" w:hAnsi="Times New Roman"/>
                <w:b/>
                <w:sz w:val="24"/>
                <w:szCs w:val="24"/>
              </w:rPr>
            </w:pPr>
            <w:r>
              <w:rPr>
                <w:rFonts w:ascii="Times New Roman" w:hAnsi="Times New Roman"/>
                <w:b/>
                <w:sz w:val="24"/>
              </w:rPr>
              <w:t>Selgitus</w:t>
            </w:r>
          </w:p>
        </w:tc>
      </w:tr>
      <w:tr w:rsidR="00965CEB" w:rsidRPr="007F4CC8" w14:paraId="2ED3053A"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020675"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a, b ja 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FBE9343"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Juhtorgan</w:t>
            </w:r>
          </w:p>
          <w:p w14:paraId="2D246C99"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Finantsinstitutsiooni juhtorgan, eristades järelevalve- ja juhtimisfunktsiooni.</w:t>
            </w:r>
          </w:p>
          <w:p w14:paraId="6966FBB4"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Finantsinstitutsioonid avalikustavad teabe, mis põhineb töötajate arvul.</w:t>
            </w:r>
          </w:p>
        </w:tc>
      </w:tr>
      <w:tr w:rsidR="00965CEB" w:rsidRPr="007F4CC8" w14:paraId="69B617A4"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07C5DEE"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lastRenderedPageBreak/>
              <w:t>d–h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E2C67D2"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Ärivaldkonnad</w:t>
            </w:r>
          </w:p>
          <w:p w14:paraId="3897E6F0" w14:textId="08C97CAF"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Finantsinstitutsiooni peamised ärivaldkonnad, nagu investeerimispangandus, jaepangandus, varahaldus, äriühingu üldjuhtimise funktsioonid, sõltumatu sisekontrolli funktsioonid.</w:t>
            </w:r>
          </w:p>
          <w:p w14:paraId="36836492"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Teave avalikustatakse täistööajale taandatud töötajate arvu alusel.</w:t>
            </w:r>
          </w:p>
        </w:tc>
      </w:tr>
      <w:tr w:rsidR="00965CEB" w:rsidRPr="007F4CC8" w14:paraId="427F8B5C"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B5F048" w14:textId="77777777" w:rsidR="00965CEB" w:rsidRPr="007F4CC8" w:rsidRDefault="00965CEB" w:rsidP="004F3087">
            <w:pPr>
              <w:autoSpaceDE w:val="0"/>
              <w:autoSpaceDN w:val="0"/>
              <w:adjustRightInd w:val="0"/>
              <w:rPr>
                <w:rFonts w:ascii="Times New Roman" w:hAnsi="Times New Roman" w:cs="Times New Roman"/>
                <w:sz w:val="24"/>
              </w:rPr>
            </w:pPr>
            <w:r>
              <w:rPr>
                <w:rFonts w:ascii="Times New Roman" w:hAnsi="Times New Roman"/>
                <w:sz w:val="24"/>
              </w:rPr>
              <w:t>i</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CFBDBE" w14:textId="77777777" w:rsidR="00965CEB" w:rsidRPr="007479E6" w:rsidRDefault="00965CEB" w:rsidP="004F3087">
            <w:pPr>
              <w:autoSpaceDE w:val="0"/>
              <w:autoSpaceDN w:val="0"/>
              <w:adjustRightInd w:val="0"/>
              <w:spacing w:before="60" w:after="120"/>
              <w:jc w:val="both"/>
              <w:rPr>
                <w:rFonts w:ascii="Times New Roman" w:hAnsi="Times New Roman"/>
                <w:b/>
                <w:sz w:val="24"/>
              </w:rPr>
            </w:pPr>
            <w:r>
              <w:rPr>
                <w:rFonts w:ascii="Times New Roman" w:hAnsi="Times New Roman"/>
                <w:b/>
                <w:sz w:val="24"/>
              </w:rPr>
              <w:t>Kõik muud</w:t>
            </w:r>
          </w:p>
          <w:p w14:paraId="73AEF5B7" w14:textId="34C0ECB0"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Kõik muud ärivaldkonnad, mida eelmistes veergudes eraldi ei käsitletud.</w:t>
            </w:r>
          </w:p>
          <w:p w14:paraId="1A156990" w14:textId="77777777" w:rsidR="00965CEB" w:rsidRPr="007F4CC8" w:rsidRDefault="00965CEB" w:rsidP="004F3087">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Teave avalikustatakse täistööajale taandatud töötajate arvu alusel.</w:t>
            </w:r>
          </w:p>
        </w:tc>
      </w:tr>
    </w:tbl>
    <w:p w14:paraId="32121E4A" w14:textId="77777777" w:rsidR="00993FC2" w:rsidRDefault="00993FC2"/>
    <w:sectPr w:rsidR="00993FC2">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2089B" w14:textId="77777777" w:rsidR="0088399E" w:rsidRDefault="0088399E" w:rsidP="00965CEB">
      <w:r>
        <w:separator/>
      </w:r>
    </w:p>
  </w:endnote>
  <w:endnote w:type="continuationSeparator" w:id="0">
    <w:p w14:paraId="336A4547" w14:textId="77777777" w:rsidR="0088399E" w:rsidRDefault="0088399E" w:rsidP="00965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236931"/>
      <w:docPartObj>
        <w:docPartGallery w:val="Page Numbers (Bottom of Page)"/>
        <w:docPartUnique/>
      </w:docPartObj>
    </w:sdtPr>
    <w:sdtEndPr>
      <w:rPr>
        <w:noProof/>
      </w:rPr>
    </w:sdtEndPr>
    <w:sdtContent>
      <w:p w14:paraId="3D775035" w14:textId="77777777" w:rsidR="00965CEB" w:rsidRDefault="00965CEB">
        <w:pPr>
          <w:pStyle w:val="Footer"/>
          <w:jc w:val="right"/>
        </w:pPr>
        <w:r>
          <w:fldChar w:fldCharType="begin"/>
        </w:r>
        <w:r>
          <w:instrText xml:space="preserve"> PAGE   \* MERGEFORMAT </w:instrText>
        </w:r>
        <w:r>
          <w:fldChar w:fldCharType="separate"/>
        </w:r>
        <w:r>
          <w:t>13</w:t>
        </w:r>
        <w:r>
          <w:fldChar w:fldCharType="end"/>
        </w:r>
      </w:p>
    </w:sdtContent>
  </w:sdt>
  <w:p w14:paraId="254CC37E" w14:textId="77777777" w:rsidR="00965CEB" w:rsidRDefault="00965C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5FE47" w14:textId="77777777" w:rsidR="0088399E" w:rsidRDefault="0088399E" w:rsidP="00965CEB">
      <w:r>
        <w:separator/>
      </w:r>
    </w:p>
  </w:footnote>
  <w:footnote w:type="continuationSeparator" w:id="0">
    <w:p w14:paraId="1F7EA5D8" w14:textId="77777777" w:rsidR="0088399E" w:rsidRDefault="0088399E" w:rsidP="00965CEB">
      <w:r>
        <w:continuationSeparator/>
      </w:r>
    </w:p>
  </w:footnote>
  <w:footnote w:id="1">
    <w:p w14:paraId="0750D410" w14:textId="30EE8358" w:rsidR="00965CEB" w:rsidRPr="00222AAB" w:rsidRDefault="00965CEB" w:rsidP="00965CEB">
      <w:pPr>
        <w:pStyle w:val="FootnoteText"/>
        <w:rPr>
          <w:rFonts w:cstheme="minorHAnsi"/>
        </w:rPr>
      </w:pPr>
      <w:r>
        <w:rPr>
          <w:rStyle w:val="FootnoteReference"/>
          <w:rFonts w:cstheme="minorHAnsi"/>
        </w:rPr>
        <w:footnoteRef/>
      </w:r>
      <w:r>
        <w:t xml:space="preserve"> </w:t>
      </w:r>
      <w:r>
        <w:tab/>
        <w:t>Euroopa Parlamendi ja nõukogu 26. juuni 2013. aasta määrus (EL) nr 575/2013, mis käsitleb krediidiasutuste suhtes kohaldatavaid usaldatavusnõudeid ja millega muudetakse määrust (EL) nr 648/2012, nagu on muudetud määrusega (EL) 2024/1623</w:t>
      </w:r>
      <w:r w:rsidR="00193BF2">
        <w:t xml:space="preserve"> </w:t>
      </w:r>
      <w:r>
        <w:rPr>
          <w:color w:val="444444"/>
        </w:rPr>
        <w:t>(</w:t>
      </w:r>
      <w:hyperlink r:id="rId1" w:history="1">
        <w:r>
          <w:rPr>
            <w:rStyle w:val="Hyperlink"/>
            <w:color w:val="800080"/>
          </w:rPr>
          <w:t>OJ L 176, 27.6.2013, p. 1</w:t>
        </w:r>
      </w:hyperlink>
      <w:r>
        <w:rPr>
          <w:color w:val="800080"/>
          <w:u w:val="single"/>
        </w:rPr>
        <w:t xml:space="preserve">; </w:t>
      </w:r>
      <w:hyperlink r:id="rId2" w:history="1">
        <w:r>
          <w:rPr>
            <w:rStyle w:val="Hyperlink"/>
          </w:rPr>
          <w:t>Määrus - EL - 2024/1623 - ET - EUR-Lex (europa.eu)</w:t>
        </w:r>
      </w:hyperlink>
      <w:r>
        <w:rPr>
          <w:color w:val="444444"/>
        </w:rPr>
        <w:t>)</w:t>
      </w:r>
      <w:r>
        <w:t>.</w:t>
      </w:r>
    </w:p>
  </w:footnote>
  <w:footnote w:id="2">
    <w:p w14:paraId="42E416B2" w14:textId="29EBE71D" w:rsidR="00965CEB" w:rsidRPr="00222AAB" w:rsidRDefault="00965CEB" w:rsidP="00965CEB">
      <w:pPr>
        <w:pStyle w:val="FootnoteText"/>
        <w:rPr>
          <w:rFonts w:cstheme="minorHAnsi"/>
        </w:rPr>
      </w:pPr>
      <w:r>
        <w:rPr>
          <w:rStyle w:val="FootnoteReference"/>
          <w:rFonts w:cstheme="minorHAnsi"/>
        </w:rPr>
        <w:footnoteRef/>
      </w:r>
      <w:r>
        <w:tab/>
        <w:t>Euroopa Parlamendi ja nõukogu 26. juuni 2013. aasta direktiiv 2013/36/EL, mis käsitleb krediidiasutuste tegevuse alustamise tingimusi ning krediidiasutuste usaldatavusnõuete täitmise järelevalvet, millega muudetakse direktiivi 2002/87/EÜ ning millega tunnistatakse kehtetuks direktiivid 2006/48/EÜ ja 2006/49/EÜ (ELT L 176, 27.6.2013, lk 338).</w:t>
      </w:r>
    </w:p>
  </w:footnote>
  <w:footnote w:id="3">
    <w:p w14:paraId="43477CEF" w14:textId="77777777" w:rsidR="00965CEB" w:rsidRPr="00346640" w:rsidRDefault="00965CEB" w:rsidP="00965CEB">
      <w:pPr>
        <w:pStyle w:val="FootnoteText"/>
        <w:rPr>
          <w:rFonts w:cstheme="minorHAnsi"/>
        </w:rPr>
      </w:pPr>
      <w:r>
        <w:rPr>
          <w:rStyle w:val="FootnoteReference"/>
          <w:rFonts w:cstheme="minorHAnsi"/>
        </w:rPr>
        <w:footnoteRef/>
      </w:r>
      <w:r>
        <w:tab/>
        <w:t>Komisjoni 4. märtsi 2014. aasta delegeeritud määrus (EL) nr 604/2014, millega täiendatakse Euroopa Parlamendi ja nõukogu direktiivi 2013/36/EL seoses regulatiivsete tehniliste standarditega kvalitatiivsete ja asjakohaste kvantitatiivsete kriteeriumide kohta, mille alusel määratakse kindlaks selliste töötajate kategooriad, kelle ametialane tegevus mõjutab oluliselt krediidiasutuse või investeerimisühingu riskiprofiili (ELT L 167, 6.6.2014, lk 30).</w:t>
      </w:r>
    </w:p>
  </w:footnote>
  <w:footnote w:id="4">
    <w:p w14:paraId="2890C799" w14:textId="77777777" w:rsidR="00965CEB" w:rsidRDefault="00965CEB" w:rsidP="00965CEB">
      <w:pPr>
        <w:pStyle w:val="FootnoteText"/>
      </w:pPr>
      <w:r>
        <w:rPr>
          <w:rStyle w:val="FootnoteReference"/>
        </w:rPr>
        <w:footnoteRef/>
      </w:r>
      <w:r>
        <w:t xml:space="preserve"> Euroopa Parlamendi ja nõukogu 8. juuni 2011. aasta direktiiv 2011/61/EL alternatiivsete investeerimisfondide valitsejate kohta, millega muudetakse direktiive 2003/41/EÜ ja 2009/65/EÜ ning määruseid (EÜ) nr 1060/2009 ja (EL) nr 1095/2010 (ELT L 174, 1.7.2011, lk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2050C" w14:textId="67949571" w:rsidR="009E1CBE" w:rsidRDefault="009E1CBE">
    <w:pPr>
      <w:pStyle w:val="Header"/>
    </w:pPr>
    <w:r>
      <w:rPr>
        <w:noProof/>
      </w:rPr>
      <mc:AlternateContent>
        <mc:Choice Requires="wps">
          <w:drawing>
            <wp:anchor distT="0" distB="0" distL="0" distR="0" simplePos="0" relativeHeight="251659264" behindDoc="0" locked="0" layoutInCell="1" allowOverlap="1" wp14:anchorId="4A3600E4" wp14:editId="57B7623D">
              <wp:simplePos x="635" y="635"/>
              <wp:positionH relativeFrom="page">
                <wp:align>left</wp:align>
              </wp:positionH>
              <wp:positionV relativeFrom="page">
                <wp:align>top</wp:align>
              </wp:positionV>
              <wp:extent cx="1273175" cy="376555"/>
              <wp:effectExtent l="0" t="0" r="3175" b="4445"/>
              <wp:wrapNone/>
              <wp:docPr id="1712024400" name="Text Box 2"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53651B4D" w14:textId="68D5441E" w:rsidR="009E1CBE" w:rsidRPr="009E1CBE" w:rsidRDefault="009E1CBE" w:rsidP="009E1CBE">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A3600E4" id="_x0000_t202" coordsize="21600,21600" o:spt="202" path="m,l,21600r21600,l21600,xe">
              <v:stroke joinstyle="miter"/>
              <v:path gradientshapeok="t" o:connecttype="rect"/>
            </v:shapetype>
            <v:shape id="Text Box 2" o:spid="_x0000_s1026" type="#_x0000_t202" alt="Title:  - Description: EBA tavakasutus"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53651B4D" w14:textId="68D5441E"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87E81" w14:textId="1522948A" w:rsidR="009E1CBE" w:rsidRDefault="009E1CBE">
    <w:pPr>
      <w:pStyle w:val="Header"/>
    </w:pPr>
    <w:r>
      <w:rPr>
        <w:noProof/>
      </w:rPr>
      <mc:AlternateContent>
        <mc:Choice Requires="wps">
          <w:drawing>
            <wp:anchor distT="0" distB="0" distL="0" distR="0" simplePos="0" relativeHeight="251660288" behindDoc="0" locked="0" layoutInCell="1" allowOverlap="1" wp14:anchorId="6AA9260E" wp14:editId="4A671498">
              <wp:simplePos x="914400" y="447675"/>
              <wp:positionH relativeFrom="page">
                <wp:align>left</wp:align>
              </wp:positionH>
              <wp:positionV relativeFrom="page">
                <wp:align>top</wp:align>
              </wp:positionV>
              <wp:extent cx="1273175" cy="376555"/>
              <wp:effectExtent l="0" t="0" r="3175" b="4445"/>
              <wp:wrapNone/>
              <wp:docPr id="1625552795" name="Text Box 3"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43AB8F0" w14:textId="0BD5B325" w:rsidR="009E1CBE" w:rsidRPr="009E1CBE" w:rsidRDefault="009E1CBE" w:rsidP="009E1CBE">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AA9260E" id="_x0000_t202" coordsize="21600,21600" o:spt="202" path="m,l,21600r21600,l21600,xe">
              <v:stroke joinstyle="miter"/>
              <v:path gradientshapeok="t" o:connecttype="rect"/>
            </v:shapetype>
            <v:shape id="Text Box 3" o:spid="_x0000_s1027" type="#_x0000_t202" alt="Title:  - Description: EBA tavakasutus"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743AB8F0" w14:textId="0BD5B325"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5A06F" w14:textId="625CECFB" w:rsidR="009E1CBE" w:rsidRDefault="009E1CBE">
    <w:pPr>
      <w:pStyle w:val="Header"/>
    </w:pPr>
    <w:r>
      <w:rPr>
        <w:noProof/>
      </w:rPr>
      <mc:AlternateContent>
        <mc:Choice Requires="wps">
          <w:drawing>
            <wp:anchor distT="0" distB="0" distL="0" distR="0" simplePos="0" relativeHeight="251658240" behindDoc="0" locked="0" layoutInCell="1" allowOverlap="1" wp14:anchorId="21FC368C" wp14:editId="050D03EB">
              <wp:simplePos x="635" y="635"/>
              <wp:positionH relativeFrom="page">
                <wp:align>left</wp:align>
              </wp:positionH>
              <wp:positionV relativeFrom="page">
                <wp:align>top</wp:align>
              </wp:positionV>
              <wp:extent cx="1273175" cy="376555"/>
              <wp:effectExtent l="0" t="0" r="3175" b="4445"/>
              <wp:wrapNone/>
              <wp:docPr id="835041480" name="Text Box 1"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8EBA43F" w14:textId="0308EAF1" w:rsidR="009E1CBE" w:rsidRPr="009E1CBE" w:rsidRDefault="009E1CBE" w:rsidP="009E1CBE">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1FC368C" id="_x0000_t202" coordsize="21600,21600" o:spt="202" path="m,l,21600r21600,l21600,xe">
              <v:stroke joinstyle="miter"/>
              <v:path gradientshapeok="t" o:connecttype="rect"/>
            </v:shapetype>
            <v:shape id="Text Box 1" o:spid="_x0000_s1028" type="#_x0000_t202" alt="Title:  - Description: EBA tavakasutus"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78EBA43F" w14:textId="0308EAF1" w:rsidR="009E1CBE" w:rsidRPr="009E1CBE" w:rsidRDefault="009E1CBE" w:rsidP="009E1CBE">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1308493">
    <w:abstractNumId w:val="0"/>
  </w:num>
  <w:num w:numId="2" w16cid:durableId="840851798">
    <w:abstractNumId w:val="2"/>
  </w:num>
  <w:num w:numId="3" w16cid:durableId="1724059957">
    <w:abstractNumId w:val="3"/>
  </w:num>
  <w:num w:numId="4" w16cid:durableId="7551748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s-ES"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1AA5"/>
    <w:rsid w:val="00040252"/>
    <w:rsid w:val="00193BF2"/>
    <w:rsid w:val="002C6B69"/>
    <w:rsid w:val="005F1AA5"/>
    <w:rsid w:val="0088399E"/>
    <w:rsid w:val="00965CEB"/>
    <w:rsid w:val="00993FC2"/>
    <w:rsid w:val="009E1CBE"/>
    <w:rsid w:val="00A9359E"/>
    <w:rsid w:val="00F52F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26ABF"/>
  <w15:chartTrackingRefBased/>
  <w15:docId w15:val="{40220555-E8B0-4E2E-A6C4-034D1DD02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5CEB"/>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965CEB"/>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965CEB"/>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965CEB"/>
    <w:rPr>
      <w:rFonts w:eastAsiaTheme="minorEastAsia"/>
      <w:sz w:val="18"/>
      <w:szCs w:val="18"/>
      <w:lang w:val="et-E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965CEB"/>
    <w:rPr>
      <w:rFonts w:asciiTheme="minorHAnsi" w:hAnsiTheme="minorHAnsi"/>
      <w:sz w:val="22"/>
      <w:szCs w:val="18"/>
      <w:vertAlign w:val="superscript"/>
    </w:rPr>
  </w:style>
  <w:style w:type="character" w:styleId="Hyperlink">
    <w:name w:val="Hyperlink"/>
    <w:basedOn w:val="DefaultParagraphFont"/>
    <w:uiPriority w:val="99"/>
    <w:rsid w:val="00965CEB"/>
    <w:rPr>
      <w:color w:val="0563C1" w:themeColor="hyperlink"/>
      <w:u w:val="single"/>
    </w:rPr>
  </w:style>
  <w:style w:type="paragraph" w:customStyle="1" w:styleId="Annexetitre">
    <w:name w:val="Annexe titre"/>
    <w:basedOn w:val="Normal"/>
    <w:next w:val="Normal"/>
    <w:rsid w:val="00965CEB"/>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965CEB"/>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65CEB"/>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965CEB"/>
    <w:pPr>
      <w:spacing w:before="120" w:after="120"/>
    </w:pPr>
    <w:rPr>
      <w:rFonts w:ascii="Segoe UI" w:eastAsia="Times New Roman" w:hAnsi="Segoe UI" w:cs="Times New Roman"/>
      <w:szCs w:val="20"/>
    </w:rPr>
  </w:style>
  <w:style w:type="paragraph" w:styleId="Header">
    <w:name w:val="header"/>
    <w:basedOn w:val="Normal"/>
    <w:link w:val="HeaderChar"/>
    <w:uiPriority w:val="99"/>
    <w:unhideWhenUsed/>
    <w:rsid w:val="00965CEB"/>
    <w:pPr>
      <w:tabs>
        <w:tab w:val="center" w:pos="4513"/>
        <w:tab w:val="right" w:pos="9026"/>
      </w:tabs>
    </w:pPr>
  </w:style>
  <w:style w:type="character" w:customStyle="1" w:styleId="HeaderChar">
    <w:name w:val="Header Char"/>
    <w:basedOn w:val="DefaultParagraphFont"/>
    <w:link w:val="Header"/>
    <w:uiPriority w:val="99"/>
    <w:rsid w:val="00965CEB"/>
    <w:rPr>
      <w:rFonts w:eastAsiaTheme="minorEastAsia"/>
      <w:szCs w:val="24"/>
    </w:rPr>
  </w:style>
  <w:style w:type="paragraph" w:styleId="Footer">
    <w:name w:val="footer"/>
    <w:basedOn w:val="Normal"/>
    <w:link w:val="FooterChar"/>
    <w:uiPriority w:val="99"/>
    <w:unhideWhenUsed/>
    <w:rsid w:val="00965CEB"/>
    <w:pPr>
      <w:tabs>
        <w:tab w:val="center" w:pos="4513"/>
        <w:tab w:val="right" w:pos="9026"/>
      </w:tabs>
    </w:pPr>
  </w:style>
  <w:style w:type="character" w:customStyle="1" w:styleId="FooterChar">
    <w:name w:val="Footer Char"/>
    <w:basedOn w:val="DefaultParagraphFont"/>
    <w:link w:val="Footer"/>
    <w:uiPriority w:val="99"/>
    <w:rsid w:val="00965CEB"/>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OJ:L_202401623" TargetMode="External"/><Relationship Id="rId1" Type="http://schemas.openxmlformats.org/officeDocument/2006/relationships/hyperlink" Target="https://eur-lex.europa.eu/legal-content/E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BB96A4-747F-4183-90C5-DF0C8CD5A4CF}"/>
</file>

<file path=customXml/itemProps2.xml><?xml version="1.0" encoding="utf-8"?>
<ds:datastoreItem xmlns:ds="http://schemas.openxmlformats.org/officeDocument/2006/customXml" ds:itemID="{A20FF480-7FFB-4367-9C20-5EE1DCC5205F}"/>
</file>

<file path=customXml/itemProps3.xml><?xml version="1.0" encoding="utf-8"?>
<ds:datastoreItem xmlns:ds="http://schemas.openxmlformats.org/officeDocument/2006/customXml" ds:itemID="{B5FBF58B-176B-4A02-82EB-255D449C24F0}"/>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20</TotalTime>
  <Pages>14</Pages>
  <Words>3449</Words>
  <Characters>26351</Characters>
  <Application>Microsoft Office Word</Application>
  <DocSecurity>0</DocSecurity>
  <Lines>627</Lines>
  <Paragraphs>342</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29458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KURG Onne (DGT)</cp:lastModifiedBy>
  <cp:revision>7</cp:revision>
  <dcterms:created xsi:type="dcterms:W3CDTF">2021-03-11T13:58:00Z</dcterms:created>
  <dcterms:modified xsi:type="dcterms:W3CDTF">2024-10-16T13:57:00Z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31c5b8c8,660b6b50,60e3f79b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2024-09-26T15:13:50Z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0ee3728c-1744-4b67-9353-cfd3229b07bf</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